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spacing w:lineRule="auto" w:line="360"/>
        <w:jc w:val="center"/>
        <w:rPr>
          <w:rFonts w:cs="" w:asciiTheme="majorBidi" w:cstheme="majorBidi" w:hAnsiTheme="majorBidi"/>
          <w:sz w:val="24"/>
          <w:szCs w:val="24"/>
        </w:rPr>
      </w:pPr>
      <w:r>
        <w:rPr>
          <w:rFonts w:cs="" w:asciiTheme="majorBidi" w:cstheme="majorBidi" w:hAnsiTheme="majorBidi"/>
          <w:sz w:val="24"/>
          <w:szCs w:val="24"/>
        </w:rPr>
      </w:r>
    </w:p>
    <w:p>
      <w:pPr>
        <w:pStyle w:val="Header"/>
        <w:spacing w:lineRule="auto" w:line="360"/>
        <w:jc w:val="center"/>
        <w:rPr>
          <w:rFonts w:cs="" w:asciiTheme="majorBidi" w:cstheme="majorBidi" w:hAnsiTheme="majorBidi"/>
          <w:sz w:val="24"/>
          <w:szCs w:val="24"/>
        </w:rPr>
      </w:pPr>
      <w:r>
        <w:rPr>
          <w:rFonts w:cs="" w:asciiTheme="majorBidi" w:cstheme="majorBidi" w:hAnsiTheme="majorBidi"/>
          <w:sz w:val="24"/>
          <w:szCs w:val="24"/>
        </w:rPr>
        <w:t>SPIS TREŚCI</w:t>
      </w:r>
    </w:p>
    <w:sdt>
      <w:sdtPr>
        <w:docPartObj>
          <w:docPartGallery w:val="Table of Contents"/>
          <w:docPartUnique w:val="true"/>
        </w:docPartObj>
      </w:sdtPr>
      <w:sdtContent>
        <w:p>
          <w:pPr>
            <w:pStyle w:val="TOC1"/>
            <w:tabs>
              <w:tab w:val="clear" w:pos="708"/>
              <w:tab w:val="right" w:pos="8787" w:leader="dot"/>
            </w:tabs>
            <w:rPr/>
          </w:pPr>
          <w:r>
            <w:fldChar w:fldCharType="begin"/>
          </w:r>
          <w:r>
            <w:rPr>
              <w:rStyle w:val="Czeindeksu"/>
            </w:rPr>
            <w:instrText xml:space="preserve"> TOC \o "1-9" \h</w:instrText>
          </w:r>
          <w:r>
            <w:rPr>
              <w:rStyle w:val="Czeindeksu"/>
            </w:rPr>
            <w:fldChar w:fldCharType="separate"/>
          </w:r>
          <w:hyperlink w:anchor="__RefHeading___Toc864_3592927575">
            <w:r>
              <w:rPr>
                <w:rStyle w:val="Czeindeksu"/>
              </w:rPr>
              <w:t>1 Wstęp</w:t>
              <w:tab/>
              <w:t>2</w:t>
            </w:r>
          </w:hyperlink>
        </w:p>
        <w:p>
          <w:pPr>
            <w:pStyle w:val="TOC2"/>
            <w:tabs>
              <w:tab w:val="clear" w:pos="708"/>
              <w:tab w:val="right" w:pos="8787" w:leader="dot"/>
            </w:tabs>
            <w:rPr/>
          </w:pPr>
          <w:hyperlink w:anchor="__RefHeading___Toc866_3592927575">
            <w:r>
              <w:rPr>
                <w:rStyle w:val="Czeindeksu"/>
              </w:rPr>
              <w:t>1.1 Nazwa nadana zamówieniu</w:t>
              <w:tab/>
              <w:t>2</w:t>
            </w:r>
          </w:hyperlink>
        </w:p>
        <w:p>
          <w:pPr>
            <w:pStyle w:val="TOC2"/>
            <w:tabs>
              <w:tab w:val="clear" w:pos="708"/>
              <w:tab w:val="right" w:pos="8787" w:leader="dot"/>
            </w:tabs>
            <w:rPr/>
          </w:pPr>
          <w:hyperlink w:anchor="__RefHeading___Toc868_3592927575">
            <w:r>
              <w:rPr>
                <w:rStyle w:val="Czeindeksu"/>
              </w:rPr>
              <w:t>1.2 Przedmiot specyfikacji technicznej</w:t>
              <w:tab/>
              <w:t>2</w:t>
            </w:r>
          </w:hyperlink>
        </w:p>
        <w:p>
          <w:pPr>
            <w:pStyle w:val="TOC2"/>
            <w:tabs>
              <w:tab w:val="clear" w:pos="708"/>
              <w:tab w:val="right" w:pos="8787" w:leader="dot"/>
            </w:tabs>
            <w:rPr/>
          </w:pPr>
          <w:hyperlink w:anchor="__RefHeading___Toc870_3592927575">
            <w:r>
              <w:rPr>
                <w:rStyle w:val="Czeindeksu"/>
              </w:rPr>
              <w:t>1.3 Zakres stosowania specyfikacji technicznej</w:t>
              <w:tab/>
              <w:t>2</w:t>
            </w:r>
          </w:hyperlink>
        </w:p>
        <w:p>
          <w:pPr>
            <w:pStyle w:val="TOC2"/>
            <w:tabs>
              <w:tab w:val="clear" w:pos="708"/>
              <w:tab w:val="right" w:pos="8787" w:leader="dot"/>
            </w:tabs>
            <w:rPr/>
          </w:pPr>
          <w:hyperlink w:anchor="__RefHeading___Toc872_3592927575">
            <w:r>
              <w:rPr>
                <w:rStyle w:val="Czeindeksu"/>
              </w:rPr>
              <w:t>1.4 Przedmiot i zakres robót objętych specyfikacją techniczną</w:t>
              <w:tab/>
              <w:t>2</w:t>
            </w:r>
          </w:hyperlink>
        </w:p>
        <w:p>
          <w:pPr>
            <w:pStyle w:val="TOC2"/>
            <w:tabs>
              <w:tab w:val="clear" w:pos="708"/>
              <w:tab w:val="right" w:pos="8787" w:leader="dot"/>
            </w:tabs>
            <w:rPr/>
          </w:pPr>
          <w:hyperlink w:anchor="__RefHeading___Toc874_3592927575">
            <w:r>
              <w:rPr>
                <w:rStyle w:val="Czeindeksu"/>
              </w:rPr>
              <w:t>1.5 Określenia podstawowe</w:t>
              <w:tab/>
              <w:t>3</w:t>
            </w:r>
          </w:hyperlink>
        </w:p>
        <w:p>
          <w:pPr>
            <w:pStyle w:val="TOC2"/>
            <w:tabs>
              <w:tab w:val="clear" w:pos="708"/>
              <w:tab w:val="right" w:pos="8787" w:leader="dot"/>
            </w:tabs>
            <w:rPr/>
          </w:pPr>
          <w:hyperlink w:anchor="__RefHeading___Toc876_3592927575">
            <w:r>
              <w:rPr>
                <w:rStyle w:val="Czeindeksu"/>
              </w:rPr>
              <w:t>1.6 Ogólne wymagania dotyczące robót</w:t>
              <w:tab/>
              <w:t>3</w:t>
            </w:r>
          </w:hyperlink>
        </w:p>
        <w:p>
          <w:pPr>
            <w:pStyle w:val="TOC2"/>
            <w:tabs>
              <w:tab w:val="clear" w:pos="708"/>
              <w:tab w:val="right" w:pos="8787" w:leader="dot"/>
            </w:tabs>
            <w:rPr/>
          </w:pPr>
          <w:hyperlink w:anchor="__RefHeading___Toc878_3592927575">
            <w:r>
              <w:rPr>
                <w:rStyle w:val="Czeindeksu"/>
              </w:rPr>
              <w:t>1.7 Dokumentacja robót montażowych</w:t>
              <w:tab/>
              <w:t>3</w:t>
            </w:r>
          </w:hyperlink>
        </w:p>
        <w:p>
          <w:pPr>
            <w:pStyle w:val="TOC1"/>
            <w:tabs>
              <w:tab w:val="clear" w:pos="708"/>
              <w:tab w:val="right" w:pos="8787" w:leader="dot"/>
            </w:tabs>
            <w:rPr/>
          </w:pPr>
          <w:hyperlink w:anchor="__RefHeading___Toc880_3592927575">
            <w:r>
              <w:rPr>
                <w:rStyle w:val="Czeindeksu"/>
              </w:rPr>
              <w:t>2 Materiały</w:t>
              <w:tab/>
              <w:t>4</w:t>
            </w:r>
          </w:hyperlink>
        </w:p>
        <w:p>
          <w:pPr>
            <w:pStyle w:val="TOC2"/>
            <w:tabs>
              <w:tab w:val="clear" w:pos="708"/>
              <w:tab w:val="right" w:pos="8787" w:leader="dot"/>
            </w:tabs>
            <w:rPr/>
          </w:pPr>
          <w:hyperlink w:anchor="__RefHeading___Toc882_3592927575">
            <w:r>
              <w:rPr>
                <w:rStyle w:val="Czeindeksu"/>
              </w:rPr>
              <w:t>2.1 Wymagania dotyczące właściwości materiałów</w:t>
              <w:tab/>
              <w:t>4</w:t>
            </w:r>
          </w:hyperlink>
        </w:p>
        <w:p>
          <w:pPr>
            <w:pStyle w:val="TOC2"/>
            <w:tabs>
              <w:tab w:val="clear" w:pos="708"/>
              <w:tab w:val="right" w:pos="8787" w:leader="dot"/>
            </w:tabs>
            <w:rPr/>
          </w:pPr>
          <w:hyperlink w:anchor="__RefHeading___Toc884_3592927575">
            <w:r>
              <w:rPr>
                <w:rStyle w:val="Czeindeksu"/>
              </w:rPr>
              <w:t>2.2 Rodzaje materiałów</w:t>
              <w:tab/>
              <w:t>5</w:t>
            </w:r>
          </w:hyperlink>
        </w:p>
        <w:p>
          <w:pPr>
            <w:pStyle w:val="TOC2"/>
            <w:tabs>
              <w:tab w:val="clear" w:pos="708"/>
              <w:tab w:val="right" w:pos="8787" w:leader="dot"/>
            </w:tabs>
            <w:rPr/>
          </w:pPr>
          <w:hyperlink w:anchor="__RefHeading___Toc886_3592927575">
            <w:r>
              <w:rPr>
                <w:rStyle w:val="Czeindeksu"/>
              </w:rPr>
              <w:t>2.3 Warunki przechowywania materiałów do montażu instalacji elektrycznych</w:t>
              <w:tab/>
              <w:t>6</w:t>
            </w:r>
          </w:hyperlink>
        </w:p>
        <w:p>
          <w:pPr>
            <w:pStyle w:val="TOC1"/>
            <w:tabs>
              <w:tab w:val="clear" w:pos="708"/>
              <w:tab w:val="right" w:pos="8787" w:leader="dot"/>
            </w:tabs>
            <w:rPr/>
          </w:pPr>
          <w:hyperlink w:anchor="__RefHeading___Toc888_3592927575">
            <w:r>
              <w:rPr>
                <w:rStyle w:val="Czeindeksu"/>
              </w:rPr>
              <w:t>3 Sprzęt</w:t>
              <w:tab/>
              <w:t>6</w:t>
            </w:r>
          </w:hyperlink>
        </w:p>
        <w:p>
          <w:pPr>
            <w:pStyle w:val="TOC1"/>
            <w:tabs>
              <w:tab w:val="clear" w:pos="708"/>
              <w:tab w:val="right" w:pos="8787" w:leader="dot"/>
            </w:tabs>
            <w:rPr/>
          </w:pPr>
          <w:hyperlink w:anchor="__RefHeading___Toc890_3592927575">
            <w:r>
              <w:rPr>
                <w:rStyle w:val="Czeindeksu"/>
              </w:rPr>
              <w:t>4 Transport materiałów na budowę</w:t>
              <w:tab/>
              <w:t>6</w:t>
            </w:r>
          </w:hyperlink>
        </w:p>
        <w:p>
          <w:pPr>
            <w:pStyle w:val="TOC1"/>
            <w:tabs>
              <w:tab w:val="clear" w:pos="708"/>
              <w:tab w:val="right" w:pos="8787" w:leader="dot"/>
            </w:tabs>
            <w:rPr/>
          </w:pPr>
          <w:hyperlink w:anchor="__RefHeading___Toc892_3592927575">
            <w:r>
              <w:rPr>
                <w:rStyle w:val="Czeindeksu"/>
              </w:rPr>
              <w:t>5 Wykonanie robót</w:t>
              <w:tab/>
              <w:t>7</w:t>
            </w:r>
          </w:hyperlink>
        </w:p>
        <w:p>
          <w:pPr>
            <w:pStyle w:val="TOC2"/>
            <w:tabs>
              <w:tab w:val="clear" w:pos="708"/>
              <w:tab w:val="right" w:pos="8787" w:leader="dot"/>
            </w:tabs>
            <w:rPr/>
          </w:pPr>
          <w:hyperlink w:anchor="__RefHeading___Toc894_3592927575">
            <w:r>
              <w:rPr>
                <w:rStyle w:val="Czeindeksu"/>
              </w:rPr>
              <w:t>5.1 Trasowanie instalacji</w:t>
              <w:tab/>
              <w:t>7</w:t>
            </w:r>
          </w:hyperlink>
        </w:p>
        <w:p>
          <w:pPr>
            <w:pStyle w:val="TOC2"/>
            <w:tabs>
              <w:tab w:val="clear" w:pos="708"/>
              <w:tab w:val="right" w:pos="8787" w:leader="dot"/>
            </w:tabs>
            <w:rPr/>
          </w:pPr>
          <w:hyperlink w:anchor="__RefHeading___Toc896_3592927575">
            <w:r>
              <w:rPr>
                <w:rStyle w:val="Czeindeksu"/>
              </w:rPr>
              <w:t>5.2 Montaż konstrukcji wsporczych oraz uchwytów</w:t>
              <w:tab/>
              <w:t>7</w:t>
            </w:r>
          </w:hyperlink>
        </w:p>
        <w:p>
          <w:pPr>
            <w:pStyle w:val="TOC2"/>
            <w:tabs>
              <w:tab w:val="clear" w:pos="708"/>
              <w:tab w:val="right" w:pos="8787" w:leader="dot"/>
            </w:tabs>
            <w:rPr/>
          </w:pPr>
          <w:hyperlink w:anchor="__RefHeading___Toc898_3592927575">
            <w:r>
              <w:rPr>
                <w:rStyle w:val="Czeindeksu"/>
              </w:rPr>
              <w:t>5.3 Podejścia do odbiorników</w:t>
              <w:tab/>
              <w:t>7</w:t>
            </w:r>
          </w:hyperlink>
        </w:p>
        <w:p>
          <w:pPr>
            <w:pStyle w:val="TOC2"/>
            <w:tabs>
              <w:tab w:val="clear" w:pos="708"/>
              <w:tab w:val="right" w:pos="8787" w:leader="dot"/>
            </w:tabs>
            <w:rPr/>
          </w:pPr>
          <w:hyperlink w:anchor="__RefHeading___Toc900_3592927575">
            <w:r>
              <w:rPr>
                <w:rStyle w:val="Czeindeksu"/>
              </w:rPr>
              <w:t>5.4 Montaż osprzętu</w:t>
              <w:tab/>
              <w:t>7</w:t>
            </w:r>
          </w:hyperlink>
        </w:p>
        <w:p>
          <w:pPr>
            <w:pStyle w:val="TOC2"/>
            <w:tabs>
              <w:tab w:val="clear" w:pos="708"/>
              <w:tab w:val="right" w:pos="8787" w:leader="dot"/>
            </w:tabs>
            <w:rPr/>
          </w:pPr>
          <w:hyperlink w:anchor="__RefHeading___Toc902_3592927575">
            <w:r>
              <w:rPr>
                <w:rStyle w:val="Czeindeksu"/>
              </w:rPr>
              <w:t>5.5 Układanie instalacji</w:t>
              <w:tab/>
              <w:t>8</w:t>
            </w:r>
          </w:hyperlink>
        </w:p>
        <w:p>
          <w:pPr>
            <w:pStyle w:val="TOC2"/>
            <w:tabs>
              <w:tab w:val="clear" w:pos="708"/>
              <w:tab w:val="right" w:pos="8787" w:leader="dot"/>
            </w:tabs>
            <w:rPr/>
          </w:pPr>
          <w:hyperlink w:anchor="__RefHeading___Toc904_3592927575">
            <w:r>
              <w:rPr>
                <w:rStyle w:val="Czeindeksu"/>
              </w:rPr>
              <w:t>5.6 Przebicia przez ściany i stropy</w:t>
              <w:tab/>
              <w:t>8</w:t>
            </w:r>
          </w:hyperlink>
        </w:p>
        <w:p>
          <w:pPr>
            <w:pStyle w:val="TOC2"/>
            <w:tabs>
              <w:tab w:val="clear" w:pos="708"/>
              <w:tab w:val="right" w:pos="8787" w:leader="dot"/>
            </w:tabs>
            <w:rPr/>
          </w:pPr>
          <w:hyperlink w:anchor="__RefHeading___Toc906_3592927575">
            <w:r>
              <w:rPr>
                <w:rStyle w:val="Czeindeksu"/>
              </w:rPr>
              <w:t>5.7 Łączenie przewodów</w:t>
              <w:tab/>
              <w:t>9</w:t>
            </w:r>
          </w:hyperlink>
        </w:p>
        <w:p>
          <w:pPr>
            <w:pStyle w:val="TOC2"/>
            <w:tabs>
              <w:tab w:val="clear" w:pos="708"/>
              <w:tab w:val="right" w:pos="8787" w:leader="dot"/>
            </w:tabs>
            <w:rPr/>
          </w:pPr>
          <w:hyperlink w:anchor="__RefHeading___Toc908_3592927575">
            <w:r>
              <w:rPr>
                <w:rStyle w:val="Czeindeksu"/>
              </w:rPr>
              <w:t>5.8 Montaż tablic rozdzielczych</w:t>
              <w:tab/>
              <w:t>9</w:t>
            </w:r>
          </w:hyperlink>
        </w:p>
        <w:p>
          <w:pPr>
            <w:pStyle w:val="TOC2"/>
            <w:tabs>
              <w:tab w:val="clear" w:pos="708"/>
              <w:tab w:val="right" w:pos="8787" w:leader="dot"/>
            </w:tabs>
            <w:rPr/>
          </w:pPr>
          <w:hyperlink w:anchor="__RefHeading___Toc910_3592927575">
            <w:r>
              <w:rPr>
                <w:rStyle w:val="Czeindeksu"/>
              </w:rPr>
              <w:t>5.9 Prace wykończeniowe</w:t>
              <w:tab/>
              <w:t>9</w:t>
            </w:r>
          </w:hyperlink>
        </w:p>
        <w:p>
          <w:pPr>
            <w:pStyle w:val="TOC2"/>
            <w:tabs>
              <w:tab w:val="clear" w:pos="708"/>
              <w:tab w:val="right" w:pos="8787" w:leader="dot"/>
            </w:tabs>
            <w:rPr/>
          </w:pPr>
          <w:hyperlink w:anchor="__RefHeading___Toc912_3592927575">
            <w:r>
              <w:rPr>
                <w:rStyle w:val="Czeindeksu"/>
              </w:rPr>
              <w:t>5.10 Próby montażowe</w:t>
              <w:tab/>
              <w:t>10</w:t>
            </w:r>
          </w:hyperlink>
        </w:p>
        <w:p>
          <w:pPr>
            <w:pStyle w:val="TOC2"/>
            <w:tabs>
              <w:tab w:val="clear" w:pos="708"/>
              <w:tab w:val="right" w:pos="8787" w:leader="dot"/>
            </w:tabs>
            <w:rPr/>
          </w:pPr>
          <w:hyperlink w:anchor="__RefHeading___Toc914_3592927575">
            <w:r>
              <w:rPr>
                <w:rStyle w:val="Czeindeksu"/>
              </w:rPr>
              <w:t>5.11 Instalacje ochronne</w:t>
              <w:tab/>
              <w:t>10</w:t>
            </w:r>
          </w:hyperlink>
        </w:p>
        <w:p>
          <w:pPr>
            <w:pStyle w:val="TOC2"/>
            <w:tabs>
              <w:tab w:val="clear" w:pos="708"/>
              <w:tab w:val="right" w:pos="8787" w:leader="dot"/>
            </w:tabs>
            <w:rPr/>
          </w:pPr>
          <w:hyperlink w:anchor="__RefHeading___Toc916_3592927575">
            <w:r>
              <w:rPr>
                <w:rStyle w:val="Czeindeksu"/>
              </w:rPr>
              <w:t>5.12 Ochrona przez zastosowanie izolacji podstawowej</w:t>
              <w:tab/>
              <w:t>10</w:t>
            </w:r>
          </w:hyperlink>
        </w:p>
        <w:p>
          <w:pPr>
            <w:pStyle w:val="TOC1"/>
            <w:tabs>
              <w:tab w:val="clear" w:pos="708"/>
              <w:tab w:val="right" w:pos="8787" w:leader="dot"/>
            </w:tabs>
            <w:rPr/>
          </w:pPr>
          <w:hyperlink w:anchor="__RefHeading___Toc918_3592927575">
            <w:r>
              <w:rPr>
                <w:rStyle w:val="Czeindeksu"/>
              </w:rPr>
              <w:t>6 Kontrola jakości robót</w:t>
              <w:tab/>
              <w:t>11</w:t>
            </w:r>
          </w:hyperlink>
        </w:p>
        <w:p>
          <w:pPr>
            <w:pStyle w:val="TOC2"/>
            <w:tabs>
              <w:tab w:val="clear" w:pos="708"/>
              <w:tab w:val="right" w:pos="8787" w:leader="dot"/>
            </w:tabs>
            <w:rPr/>
          </w:pPr>
          <w:hyperlink w:anchor="__RefHeading___Toc920_3592927575">
            <w:r>
              <w:rPr>
                <w:rStyle w:val="Czeindeksu"/>
              </w:rPr>
              <w:t>6.1 Kontrola jakości materiałów</w:t>
              <w:tab/>
              <w:t>11</w:t>
            </w:r>
          </w:hyperlink>
        </w:p>
        <w:p>
          <w:pPr>
            <w:pStyle w:val="TOC2"/>
            <w:tabs>
              <w:tab w:val="clear" w:pos="708"/>
              <w:tab w:val="right" w:pos="8787" w:leader="dot"/>
            </w:tabs>
            <w:rPr/>
          </w:pPr>
          <w:hyperlink w:anchor="__RefHeading___Toc922_3592927575">
            <w:r>
              <w:rPr>
                <w:rStyle w:val="Czeindeksu"/>
              </w:rPr>
              <w:t>6.2 Kontrola i badania w trakcie robót</w:t>
              <w:tab/>
              <w:t>11</w:t>
            </w:r>
          </w:hyperlink>
        </w:p>
        <w:p>
          <w:pPr>
            <w:pStyle w:val="TOC2"/>
            <w:tabs>
              <w:tab w:val="clear" w:pos="708"/>
              <w:tab w:val="right" w:pos="8787" w:leader="dot"/>
            </w:tabs>
            <w:rPr/>
          </w:pPr>
          <w:hyperlink w:anchor="__RefHeading___Toc924_3592927575">
            <w:r>
              <w:rPr>
                <w:rStyle w:val="Czeindeksu"/>
              </w:rPr>
              <w:t>6.3 Kontrola szczegółowa</w:t>
              <w:tab/>
              <w:t>11</w:t>
            </w:r>
          </w:hyperlink>
        </w:p>
        <w:p>
          <w:pPr>
            <w:pStyle w:val="TOC2"/>
            <w:tabs>
              <w:tab w:val="clear" w:pos="708"/>
              <w:tab w:val="right" w:pos="8787" w:leader="dot"/>
            </w:tabs>
            <w:rPr/>
          </w:pPr>
          <w:hyperlink w:anchor="__RefHeading___Toc926_3592927575">
            <w:r>
              <w:rPr>
                <w:rStyle w:val="Czeindeksu"/>
              </w:rPr>
              <w:t>6.4 Zasady postępowania z wadliwie wykonanymi robotami i materiałami</w:t>
              <w:tab/>
              <w:t>11</w:t>
            </w:r>
          </w:hyperlink>
        </w:p>
        <w:p>
          <w:pPr>
            <w:pStyle w:val="TOC1"/>
            <w:tabs>
              <w:tab w:val="clear" w:pos="708"/>
              <w:tab w:val="right" w:pos="8787" w:leader="dot"/>
            </w:tabs>
            <w:rPr/>
          </w:pPr>
          <w:hyperlink w:anchor="__RefHeading___Toc928_3592927575">
            <w:r>
              <w:rPr>
                <w:rStyle w:val="Czeindeksu"/>
              </w:rPr>
              <w:t>7 Obmiar robót</w:t>
              <w:tab/>
              <w:t>12</w:t>
            </w:r>
          </w:hyperlink>
        </w:p>
        <w:p>
          <w:pPr>
            <w:pStyle w:val="TOC1"/>
            <w:tabs>
              <w:tab w:val="clear" w:pos="708"/>
              <w:tab w:val="right" w:pos="8787" w:leader="dot"/>
            </w:tabs>
            <w:rPr/>
          </w:pPr>
          <w:hyperlink w:anchor="__RefHeading___Toc930_3592927575">
            <w:r>
              <w:rPr>
                <w:rStyle w:val="Czeindeksu"/>
              </w:rPr>
              <w:t>8 Sposób odbioru robót</w:t>
              <w:tab/>
              <w:t>12</w:t>
            </w:r>
          </w:hyperlink>
        </w:p>
        <w:p>
          <w:pPr>
            <w:pStyle w:val="TOC1"/>
            <w:tabs>
              <w:tab w:val="clear" w:pos="708"/>
              <w:tab w:val="right" w:pos="8787" w:leader="dot"/>
            </w:tabs>
            <w:rPr/>
          </w:pPr>
          <w:hyperlink w:anchor="__RefHeading___Toc932_3592927575">
            <w:r>
              <w:rPr>
                <w:rStyle w:val="Czeindeksu"/>
              </w:rPr>
              <w:t>9 Podstawa płatności</w:t>
              <w:tab/>
              <w:t>13</w:t>
            </w:r>
          </w:hyperlink>
        </w:p>
        <w:p>
          <w:pPr>
            <w:pStyle w:val="TOC1"/>
            <w:tabs>
              <w:tab w:val="clear" w:pos="708"/>
              <w:tab w:val="right" w:pos="8787" w:leader="dot"/>
            </w:tabs>
            <w:rPr/>
          </w:pPr>
          <w:hyperlink w:anchor="__RefHeading___Toc934_3592927575">
            <w:r>
              <w:rPr>
                <w:rStyle w:val="Czeindeksu"/>
              </w:rPr>
              <w:t>10 Dokumenty odniesienia</w:t>
              <w:tab/>
              <w:t>14</w:t>
            </w:r>
          </w:hyperlink>
        </w:p>
        <w:p>
          <w:pPr>
            <w:pStyle w:val="TOC2"/>
            <w:tabs>
              <w:tab w:val="clear" w:pos="708"/>
              <w:tab w:val="right" w:pos="8787" w:leader="dot"/>
            </w:tabs>
            <w:rPr/>
          </w:pPr>
          <w:hyperlink w:anchor="__RefHeading___Toc936_3592927575">
            <w:r>
              <w:rPr>
                <w:rStyle w:val="Czeindeksu"/>
              </w:rPr>
              <w:t>10.1 Obowiązujące normy i przepisy</w:t>
              <w:tab/>
              <w:t>14</w:t>
            </w:r>
          </w:hyperlink>
          <w:r>
            <w:rPr>
              <w:rStyle w:val="Czeindeksu"/>
            </w:rPr>
            <w:fldChar w:fldCharType="end"/>
          </w:r>
        </w:p>
      </w:sdtContent>
    </w:sdt>
    <w:p>
      <w:pPr>
        <w:pStyle w:val="TOC1"/>
        <w:tabs>
          <w:tab w:val="clear" w:pos="708"/>
          <w:tab w:val="right" w:pos="8786" w:leader="dot"/>
        </w:tabs>
        <w:spacing w:lineRule="auto" w:line="360" w:before="0" w:after="0"/>
        <w:rPr>
          <w:rFonts w:ascii="Arial" w:hAnsi="Arial" w:cs="" w:cstheme="majorBidi"/>
          <w:b w:val="false"/>
          <w:sz w:val="24"/>
          <w:szCs w:val="24"/>
        </w:rPr>
      </w:pPr>
      <w:r>
        <w:rPr>
          <w:rFonts w:cs="" w:cstheme="majorBidi" w:ascii="Arial" w:hAnsi="Arial"/>
          <w:b w:val="false"/>
          <w:sz w:val="24"/>
          <w:szCs w:val="24"/>
        </w:rPr>
      </w:r>
    </w:p>
    <w:p>
      <w:pPr>
        <w:pStyle w:val="Normal"/>
        <w:rPr>
          <w:rFonts w:ascii="Arial" w:hAnsi="Arial"/>
        </w:rPr>
      </w:pPr>
      <w:r>
        <w:rPr>
          <w:rFonts w:ascii="Arial" w:hAnsi="Arial"/>
        </w:rPr>
      </w:r>
      <w:r>
        <w:br w:type="page"/>
      </w:r>
    </w:p>
    <w:p>
      <w:pPr>
        <w:pStyle w:val="Heading1"/>
        <w:numPr>
          <w:ilvl w:val="0"/>
          <w:numId w:val="1"/>
        </w:numPr>
        <w:spacing w:before="0" w:after="60"/>
        <w:rPr>
          <w:rFonts w:ascii="Arial" w:hAnsi="Arial"/>
        </w:rPr>
      </w:pPr>
      <w:bookmarkStart w:id="0" w:name="__RefHeading___Toc864_3592927575"/>
      <w:bookmarkStart w:id="1" w:name="_Toc124674371"/>
      <w:bookmarkEnd w:id="0"/>
      <w:r>
        <w:rPr>
          <w:rFonts w:cs="" w:cstheme="majorBidi"/>
          <w:bCs/>
          <w:szCs w:val="28"/>
        </w:rPr>
        <w:t>Wstęp</w:t>
      </w:r>
      <w:bookmarkEnd w:id="1"/>
    </w:p>
    <w:p>
      <w:pPr>
        <w:pStyle w:val="Heading2"/>
        <w:numPr>
          <w:ilvl w:val="1"/>
          <w:numId w:val="1"/>
        </w:numPr>
        <w:rPr>
          <w:rFonts w:ascii="Arial" w:hAnsi="Arial"/>
        </w:rPr>
      </w:pPr>
      <w:bookmarkStart w:id="2" w:name="__RefHeading___Toc866_3592927575"/>
      <w:bookmarkStart w:id="3" w:name="_Toc124674372"/>
      <w:bookmarkEnd w:id="2"/>
      <w:r>
        <w:rPr>
          <w:rFonts w:cs="" w:cstheme="majorBidi"/>
          <w:b w:val="false"/>
          <w:sz w:val="24"/>
          <w:szCs w:val="24"/>
        </w:rPr>
        <w:t>Nazwa nadana zamówieniu</w:t>
      </w:r>
      <w:bookmarkEnd w:id="3"/>
    </w:p>
    <w:p>
      <w:pPr>
        <w:pStyle w:val="Normal"/>
        <w:tabs>
          <w:tab w:val="clear" w:pos="708"/>
          <w:tab w:val="left" w:pos="0" w:leader="none"/>
        </w:tabs>
        <w:spacing w:lineRule="auto" w:line="360" w:before="0" w:after="120"/>
        <w:rPr>
          <w:rFonts w:ascii="Arial" w:hAnsi="Arial"/>
        </w:rPr>
      </w:pPr>
      <w:r>
        <w:rPr>
          <w:rFonts w:cs="" w:ascii="Arial" w:hAnsi="Arial" w:cstheme="majorBidi"/>
          <w:i/>
          <w:iCs/>
          <w:sz w:val="20"/>
        </w:rPr>
        <w:t>Projekt:</w:t>
      </w:r>
    </w:p>
    <w:p>
      <w:pPr>
        <w:pStyle w:val="Normal"/>
        <w:spacing w:lineRule="auto" w:line="360"/>
        <w:jc w:val="center"/>
        <w:rPr>
          <w:rFonts w:ascii="Arial" w:hAnsi="Arial"/>
        </w:rPr>
      </w:pPr>
      <w:r>
        <w:rPr>
          <w:rFonts w:cs="" w:ascii="Arial" w:hAnsi="Arial" w:cstheme="majorBidi"/>
          <w:b/>
          <w:bCs/>
          <w:szCs w:val="28"/>
        </w:rPr>
        <w:t>REMONT INSTALACJI WLZ, INSTALACJA DOMOFONOWA, WYMIANA INSTALACJI ELEKTRYCZNEJ LOKALI</w:t>
      </w:r>
    </w:p>
    <w:p>
      <w:pPr>
        <w:pStyle w:val="Normal"/>
        <w:tabs>
          <w:tab w:val="clear" w:pos="708"/>
          <w:tab w:val="left" w:pos="0" w:leader="none"/>
        </w:tabs>
        <w:spacing w:lineRule="auto" w:line="360" w:before="0" w:after="120"/>
        <w:rPr>
          <w:rFonts w:ascii="Arial" w:hAnsi="Arial"/>
        </w:rPr>
      </w:pPr>
      <w:r>
        <w:rPr>
          <w:rFonts w:cs="" w:ascii="Arial" w:hAnsi="Arial" w:cstheme="majorBidi"/>
          <w:i/>
          <w:iCs/>
          <w:sz w:val="20"/>
        </w:rPr>
        <w:t>Adres:</w:t>
      </w:r>
    </w:p>
    <w:p>
      <w:pPr>
        <w:pStyle w:val="Normal"/>
        <w:spacing w:lineRule="auto" w:line="360"/>
        <w:jc w:val="center"/>
        <w:rPr>
          <w:rFonts w:ascii="Arial" w:hAnsi="Arial"/>
        </w:rPr>
      </w:pPr>
      <w:r>
        <w:rPr>
          <w:rFonts w:cs="" w:ascii="Arial" w:hAnsi="Arial" w:cstheme="majorBidi"/>
          <w:b/>
          <w:bCs/>
          <w:szCs w:val="28"/>
        </w:rPr>
        <w:t>ul. Młyńska 10, dz. nr 136 obr. 0011</w:t>
      </w:r>
    </w:p>
    <w:p>
      <w:pPr>
        <w:pStyle w:val="Normal"/>
        <w:spacing w:lineRule="auto" w:line="360"/>
        <w:jc w:val="center"/>
        <w:rPr>
          <w:rFonts w:ascii="Arial" w:hAnsi="Arial" w:cs="" w:cstheme="majorBidi"/>
          <w:sz w:val="24"/>
          <w:szCs w:val="24"/>
        </w:rPr>
      </w:pPr>
      <w:r>
        <w:rPr>
          <w:rFonts w:cs="" w:cstheme="majorBidi" w:ascii="Arial" w:hAnsi="Arial"/>
          <w:sz w:val="24"/>
          <w:szCs w:val="24"/>
        </w:rPr>
      </w:r>
    </w:p>
    <w:p>
      <w:pPr>
        <w:pStyle w:val="Heading2"/>
        <w:numPr>
          <w:ilvl w:val="1"/>
          <w:numId w:val="1"/>
        </w:numPr>
        <w:rPr>
          <w:rFonts w:ascii="Arial" w:hAnsi="Arial"/>
        </w:rPr>
      </w:pPr>
      <w:bookmarkStart w:id="4" w:name="__RefHeading___Toc868_3592927575"/>
      <w:bookmarkStart w:id="5" w:name="_Toc124674373"/>
      <w:bookmarkEnd w:id="4"/>
      <w:r>
        <w:rPr>
          <w:rFonts w:cs="" w:cstheme="majorBidi"/>
          <w:b w:val="false"/>
          <w:sz w:val="24"/>
          <w:szCs w:val="24"/>
        </w:rPr>
        <w:t>Przedmiot specyfikacji technicznej</w:t>
      </w:r>
      <w:bookmarkEnd w:id="5"/>
    </w:p>
    <w:p>
      <w:pPr>
        <w:pStyle w:val="Normal"/>
        <w:spacing w:lineRule="auto" w:line="360"/>
        <w:ind w:firstLine="576"/>
        <w:jc w:val="both"/>
        <w:rPr>
          <w:rFonts w:ascii="Arial" w:hAnsi="Arial"/>
        </w:rPr>
      </w:pPr>
      <w:r>
        <w:rPr>
          <w:rFonts w:cs="" w:ascii="Arial" w:hAnsi="Arial" w:cstheme="majorBidi"/>
          <w:sz w:val="24"/>
          <w:szCs w:val="24"/>
        </w:rPr>
        <w:t>Przedmiotem specyfikacji technicznej są wymagania dotyczące wykonania i odbioru robót instalacji elektrycznych dla inwestycji „Remont instalacji WLZ, instalacja domofonowa, wymiana instalacji elektrycznej lokali”.</w:t>
      </w:r>
    </w:p>
    <w:p>
      <w:pPr>
        <w:pStyle w:val="Heading2"/>
        <w:numPr>
          <w:ilvl w:val="1"/>
          <w:numId w:val="1"/>
        </w:numPr>
        <w:rPr>
          <w:rFonts w:ascii="Arial" w:hAnsi="Arial"/>
        </w:rPr>
      </w:pPr>
      <w:bookmarkStart w:id="6" w:name="__RefHeading___Toc870_3592927575"/>
      <w:bookmarkStart w:id="7" w:name="_Toc124674374"/>
      <w:bookmarkEnd w:id="6"/>
      <w:r>
        <w:rPr>
          <w:rFonts w:cs="" w:cstheme="majorBidi"/>
          <w:b w:val="false"/>
          <w:sz w:val="24"/>
          <w:szCs w:val="24"/>
        </w:rPr>
        <w:t>Zakres stosowania specyfikacji technicznej</w:t>
      </w:r>
      <w:bookmarkEnd w:id="7"/>
    </w:p>
    <w:p>
      <w:pPr>
        <w:pStyle w:val="Normal"/>
        <w:spacing w:lineRule="auto" w:line="360"/>
        <w:ind w:firstLine="576"/>
        <w:jc w:val="both"/>
        <w:rPr>
          <w:rFonts w:ascii="Arial" w:hAnsi="Arial"/>
        </w:rPr>
      </w:pPr>
      <w:r>
        <w:rPr>
          <w:rFonts w:cs="" w:ascii="Arial" w:hAnsi="Arial" w:cstheme="majorBidi"/>
          <w:sz w:val="24"/>
          <w:szCs w:val="24"/>
        </w:rPr>
        <w:t>Projektant sporządzający dokumentację projektową i odpowiednie  specyfikacje techniczne wykonania i odbioru robót budowlanych może wprowadzać do niniejszej specyfikacji zmiany, uzupełnienia lub uściślenia, odpowiednie dla przewidzianych projektem robót, uwzględniające wymagania Zamawiającego oraz konkretne warunki realizacji robót, niezbędne do uzyskania wymaganego standardu i jakości tych robót.</w:t>
      </w:r>
    </w:p>
    <w:p>
      <w:pPr>
        <w:pStyle w:val="Heading2"/>
        <w:numPr>
          <w:ilvl w:val="1"/>
          <w:numId w:val="1"/>
        </w:numPr>
        <w:rPr>
          <w:rFonts w:ascii="Arial" w:hAnsi="Arial"/>
        </w:rPr>
      </w:pPr>
      <w:bookmarkStart w:id="8" w:name="__RefHeading___Toc872_3592927575"/>
      <w:bookmarkStart w:id="9" w:name="_Toc124674375"/>
      <w:bookmarkEnd w:id="8"/>
      <w:r>
        <w:rPr>
          <w:rFonts w:cs="" w:cstheme="majorBidi"/>
          <w:b w:val="false"/>
          <w:sz w:val="24"/>
          <w:szCs w:val="24"/>
        </w:rPr>
        <w:t>Przedmiot i zakres robót objętych specyfikacją techniczną</w:t>
      </w:r>
      <w:bookmarkEnd w:id="9"/>
    </w:p>
    <w:p>
      <w:pPr>
        <w:pStyle w:val="Normal"/>
        <w:spacing w:lineRule="auto" w:line="360"/>
        <w:ind w:firstLine="567"/>
        <w:jc w:val="both"/>
        <w:rPr>
          <w:rFonts w:ascii="Arial" w:hAnsi="Arial"/>
        </w:rPr>
      </w:pPr>
      <w:r>
        <w:rPr>
          <w:rFonts w:cs="" w:ascii="Arial" w:hAnsi="Arial" w:cstheme="majorBidi"/>
          <w:sz w:val="24"/>
          <w:szCs w:val="24"/>
          <w:lang w:eastAsia="pl-PL"/>
        </w:rPr>
        <w:t>Ustalenia zawarte w niniejszej specyfikacji technicznej (ST) dotyczą zasad wykonywania i odbioru robót związanych z:</w:t>
      </w:r>
    </w:p>
    <w:p>
      <w:pPr>
        <w:pStyle w:val="ListParagraph"/>
        <w:numPr>
          <w:ilvl w:val="0"/>
          <w:numId w:val="2"/>
        </w:numPr>
        <w:spacing w:lineRule="auto" w:line="360"/>
        <w:jc w:val="both"/>
        <w:rPr>
          <w:rFonts w:ascii="Arial" w:hAnsi="Arial"/>
        </w:rPr>
      </w:pPr>
      <w:r>
        <w:rPr>
          <w:rFonts w:cs="" w:ascii="Arial" w:hAnsi="Arial" w:cstheme="majorBidi"/>
          <w:sz w:val="24"/>
          <w:szCs w:val="24"/>
          <w:lang w:eastAsia="pl-PL"/>
        </w:rPr>
        <w:t>wykonaniem instalacji oświetleniowej,</w:t>
      </w:r>
    </w:p>
    <w:p>
      <w:pPr>
        <w:pStyle w:val="ListParagraph"/>
        <w:numPr>
          <w:ilvl w:val="0"/>
          <w:numId w:val="2"/>
        </w:numPr>
        <w:spacing w:lineRule="auto" w:line="360"/>
        <w:jc w:val="both"/>
        <w:rPr>
          <w:rFonts w:ascii="Arial" w:hAnsi="Arial"/>
        </w:rPr>
      </w:pPr>
      <w:r>
        <w:rPr>
          <w:rFonts w:cs="" w:ascii="Arial" w:hAnsi="Arial" w:cstheme="majorBidi"/>
          <w:sz w:val="24"/>
          <w:szCs w:val="24"/>
          <w:lang w:eastAsia="pl-PL"/>
        </w:rPr>
        <w:t>wykonaniem instalacji gniazd wtykowych,</w:t>
      </w:r>
    </w:p>
    <w:p>
      <w:pPr>
        <w:pStyle w:val="ListParagraph"/>
        <w:numPr>
          <w:ilvl w:val="0"/>
          <w:numId w:val="2"/>
        </w:numPr>
        <w:spacing w:lineRule="auto" w:line="360"/>
        <w:jc w:val="both"/>
        <w:rPr>
          <w:rFonts w:ascii="Arial" w:hAnsi="Arial"/>
        </w:rPr>
      </w:pPr>
      <w:r>
        <w:rPr>
          <w:rFonts w:cs="" w:ascii="Arial" w:hAnsi="Arial" w:cstheme="majorBidi"/>
          <w:sz w:val="24"/>
          <w:szCs w:val="24"/>
          <w:lang w:eastAsia="pl-PL"/>
        </w:rPr>
        <w:t>wraz z transportem i składowaniem materiałów i robotami towarzyszącymi.</w:t>
      </w:r>
    </w:p>
    <w:p>
      <w:pPr>
        <w:pStyle w:val="Normal"/>
        <w:spacing w:lineRule="auto" w:line="360"/>
        <w:jc w:val="both"/>
        <w:rPr>
          <w:rFonts w:ascii="Arial" w:hAnsi="Arial"/>
        </w:rPr>
      </w:pPr>
      <w:r>
        <w:rPr>
          <w:rFonts w:cs="" w:ascii="Arial" w:hAnsi="Arial" w:cstheme="majorBidi"/>
          <w:sz w:val="24"/>
          <w:szCs w:val="24"/>
          <w:lang w:eastAsia="pl-PL"/>
        </w:rPr>
        <w:t>ST dotyczy wszystkich czynności mających na celu wykonanie robót związanych z:</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kompletacją materiałów potrzebnych do wykonania podanych wyżej prac,</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wykonaniem wszelkich robót pomocniczych w celu przygotowania podłoża,</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ułożeniem wszystkich materiałów w sposób i w miejscu zgodnym z dokumentacją techniczną,</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wykonaniem oznakowania zgodnego z dokumentacją techniczną wszystkich elementów wyznaczonych w dokumentacji,</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wykonaniem oznakowania zgodnego z dokumentacją techniczną wszystkich wyznaczonych kabli i linii,</w:t>
      </w:r>
    </w:p>
    <w:p>
      <w:pPr>
        <w:pStyle w:val="ListParagraph"/>
        <w:numPr>
          <w:ilvl w:val="0"/>
          <w:numId w:val="3"/>
        </w:numPr>
        <w:spacing w:lineRule="auto" w:line="360"/>
        <w:jc w:val="both"/>
        <w:rPr>
          <w:rFonts w:ascii="Arial" w:hAnsi="Arial"/>
        </w:rPr>
      </w:pPr>
      <w:r>
        <w:rPr>
          <w:rFonts w:cs="" w:ascii="Arial" w:hAnsi="Arial" w:cstheme="majorBidi"/>
          <w:sz w:val="24"/>
          <w:szCs w:val="24"/>
          <w:lang w:eastAsia="pl-PL"/>
        </w:rPr>
        <w:t>przeprowadzeniem wymaganych prób i badań oraz potwierdzenie protokołami kwalifikującymi montowany element linii energetycznej do eksploatacji.</w:t>
      </w:r>
    </w:p>
    <w:p>
      <w:pPr>
        <w:pStyle w:val="Heading2"/>
        <w:numPr>
          <w:ilvl w:val="1"/>
          <w:numId w:val="1"/>
        </w:numPr>
        <w:rPr>
          <w:rFonts w:ascii="Arial" w:hAnsi="Arial"/>
        </w:rPr>
      </w:pPr>
      <w:bookmarkStart w:id="10" w:name="__RefHeading___Toc874_3592927575"/>
      <w:bookmarkStart w:id="11" w:name="_Toc124674376"/>
      <w:bookmarkEnd w:id="10"/>
      <w:r>
        <w:rPr>
          <w:rFonts w:cs="" w:cstheme="majorBidi"/>
          <w:b w:val="false"/>
          <w:sz w:val="24"/>
          <w:szCs w:val="24"/>
        </w:rPr>
        <w:t>Określenia podstawowe</w:t>
      </w:r>
      <w:bookmarkEnd w:id="11"/>
    </w:p>
    <w:p>
      <w:pPr>
        <w:pStyle w:val="Normal"/>
        <w:spacing w:lineRule="auto" w:line="360"/>
        <w:ind w:firstLine="576"/>
        <w:jc w:val="both"/>
        <w:rPr>
          <w:rFonts w:ascii="Arial" w:hAnsi="Arial"/>
        </w:rPr>
      </w:pPr>
      <w:r>
        <w:rPr>
          <w:rFonts w:cs="" w:ascii="Arial" w:hAnsi="Arial" w:cstheme="majorBidi"/>
          <w:sz w:val="24"/>
          <w:szCs w:val="24"/>
        </w:rPr>
        <w:t>Wszystkie określenia, nazwy, które znalazły się w tej specyfikacji są zgodne albo równoważne z Polskimi Normami zawartymi w rozporządzeniu Ministra Infrastruktury z dnia 12 kwietnia 2002r.</w:t>
      </w:r>
    </w:p>
    <w:p>
      <w:pPr>
        <w:pStyle w:val="Heading2"/>
        <w:numPr>
          <w:ilvl w:val="1"/>
          <w:numId w:val="1"/>
        </w:numPr>
        <w:rPr>
          <w:rFonts w:ascii="Arial" w:hAnsi="Arial"/>
        </w:rPr>
      </w:pPr>
      <w:bookmarkStart w:id="12" w:name="__RefHeading___Toc876_3592927575"/>
      <w:bookmarkStart w:id="13" w:name="_Toc124674377"/>
      <w:bookmarkEnd w:id="12"/>
      <w:r>
        <w:rPr>
          <w:rFonts w:cs="" w:cstheme="majorBidi"/>
          <w:b w:val="false"/>
          <w:sz w:val="24"/>
          <w:szCs w:val="24"/>
        </w:rPr>
        <w:t>Ogólne wymagania dotyczące robót</w:t>
      </w:r>
      <w:bookmarkEnd w:id="13"/>
    </w:p>
    <w:p>
      <w:pPr>
        <w:pStyle w:val="Normal"/>
        <w:spacing w:lineRule="auto" w:line="360"/>
        <w:ind w:firstLine="432"/>
        <w:rPr>
          <w:rFonts w:ascii="Arial" w:hAnsi="Arial"/>
        </w:rPr>
      </w:pPr>
      <w:r>
        <w:rPr>
          <w:rFonts w:cs="" w:ascii="Arial" w:hAnsi="Arial" w:cstheme="majorBidi"/>
          <w:sz w:val="24"/>
          <w:szCs w:val="24"/>
        </w:rPr>
        <w:t>Wykonawca robót jest odpowiedzialny za jakość ich wykonania oraz za zgodność z dokumentacją projektową, specyfikacjami technicznymi i poleceniami Inspektora nadzoru.</w:t>
      </w:r>
    </w:p>
    <w:p>
      <w:pPr>
        <w:pStyle w:val="Heading2"/>
        <w:numPr>
          <w:ilvl w:val="1"/>
          <w:numId w:val="1"/>
        </w:numPr>
        <w:rPr>
          <w:rFonts w:ascii="Arial" w:hAnsi="Arial"/>
        </w:rPr>
      </w:pPr>
      <w:bookmarkStart w:id="14" w:name="__RefHeading___Toc878_3592927575"/>
      <w:bookmarkStart w:id="15" w:name="_Toc124674378"/>
      <w:bookmarkEnd w:id="14"/>
      <w:r>
        <w:rPr>
          <w:rFonts w:cs="" w:cstheme="majorBidi"/>
          <w:b w:val="false"/>
          <w:sz w:val="24"/>
          <w:szCs w:val="24"/>
        </w:rPr>
        <w:t>Dokumentacja robót montażowych</w:t>
      </w:r>
      <w:bookmarkEnd w:id="15"/>
    </w:p>
    <w:p>
      <w:pPr>
        <w:pStyle w:val="Normal"/>
        <w:spacing w:lineRule="auto" w:line="360"/>
        <w:ind w:firstLine="576"/>
        <w:rPr>
          <w:rFonts w:ascii="Arial" w:hAnsi="Arial"/>
        </w:rPr>
      </w:pPr>
      <w:r>
        <w:rPr>
          <w:rFonts w:cs="" w:ascii="Arial" w:hAnsi="Arial" w:cstheme="majorBidi"/>
          <w:sz w:val="24"/>
          <w:szCs w:val="24"/>
        </w:rPr>
        <w:t>Dokumentację robót montażowych elementów instalacji elektrycznej stanowią:</w:t>
      </w:r>
    </w:p>
    <w:p>
      <w:pPr>
        <w:pStyle w:val="ListParagraph"/>
        <w:numPr>
          <w:ilvl w:val="0"/>
          <w:numId w:val="4"/>
        </w:numPr>
        <w:spacing w:lineRule="auto" w:line="360"/>
        <w:rPr>
          <w:rFonts w:ascii="Arial" w:hAnsi="Arial"/>
        </w:rPr>
      </w:pPr>
      <w:r>
        <w:rPr>
          <w:rFonts w:cs="" w:ascii="Arial" w:hAnsi="Arial" w:cstheme="majorBidi"/>
          <w:sz w:val="24"/>
          <w:szCs w:val="24"/>
        </w:rPr>
        <w:t>projekt budowlany i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ze zmianami Dz. U. z 2005 r. Nr 75, poz. 664),</w:t>
      </w:r>
    </w:p>
    <w:p>
      <w:pPr>
        <w:pStyle w:val="ListParagraph"/>
        <w:numPr>
          <w:ilvl w:val="0"/>
          <w:numId w:val="4"/>
        </w:numPr>
        <w:spacing w:lineRule="auto" w:line="360"/>
        <w:rPr>
          <w:rFonts w:ascii="Arial" w:hAnsi="Arial"/>
        </w:rPr>
      </w:pPr>
      <w:r>
        <w:rPr>
          <w:rFonts w:cs="" w:ascii="Arial" w:hAnsi="Arial" w:cstheme="majorBidi"/>
          <w:sz w:val="24"/>
          <w:szCs w:val="24"/>
        </w:rPr>
        <w:t>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pPr>
        <w:pStyle w:val="ListParagraph"/>
        <w:numPr>
          <w:ilvl w:val="0"/>
          <w:numId w:val="4"/>
        </w:numPr>
        <w:spacing w:lineRule="auto" w:line="360"/>
        <w:rPr>
          <w:rFonts w:ascii="Arial" w:hAnsi="Arial"/>
        </w:rPr>
      </w:pPr>
      <w:r>
        <w:rPr>
          <w:rFonts w:cs="" w:ascii="Arial" w:hAnsi="Arial" w:cstheme="majorBidi"/>
          <w:sz w:val="24"/>
          <w:szCs w:val="24"/>
        </w:rPr>
        <w:t>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późniejszymi zmianami),</w:t>
      </w:r>
    </w:p>
    <w:p>
      <w:pPr>
        <w:pStyle w:val="ListParagraph"/>
        <w:numPr>
          <w:ilvl w:val="0"/>
          <w:numId w:val="4"/>
        </w:numPr>
        <w:spacing w:lineRule="auto" w:line="360"/>
        <w:rPr>
          <w:rFonts w:ascii="Arial" w:hAnsi="Arial"/>
        </w:rPr>
      </w:pPr>
      <w:r>
        <w:rPr>
          <w:rFonts w:cs="" w:ascii="Arial" w:hAnsi="Arial" w:cstheme="majorBidi"/>
          <w:sz w:val="24"/>
          <w:szCs w:val="24"/>
        </w:rPr>
        <w:t>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w:t>
      </w:r>
    </w:p>
    <w:p>
      <w:pPr>
        <w:pStyle w:val="ListParagraph"/>
        <w:numPr>
          <w:ilvl w:val="0"/>
          <w:numId w:val="4"/>
        </w:numPr>
        <w:spacing w:lineRule="auto" w:line="360"/>
        <w:rPr>
          <w:rFonts w:ascii="Arial" w:hAnsi="Arial"/>
        </w:rPr>
      </w:pPr>
      <w:r>
        <w:rPr>
          <w:rFonts w:cs="" w:ascii="Arial" w:hAnsi="Arial" w:cstheme="majorBidi"/>
          <w:sz w:val="24"/>
          <w:szCs w:val="24"/>
        </w:rPr>
        <w:t>protokoły odbiorów częściowych, końcowych oraz robót zanikających i ulegających zakryciu z załączonymi protokołami z badań kontrolnych,</w:t>
      </w:r>
    </w:p>
    <w:p>
      <w:pPr>
        <w:pStyle w:val="ListParagraph"/>
        <w:numPr>
          <w:ilvl w:val="0"/>
          <w:numId w:val="4"/>
        </w:numPr>
        <w:spacing w:lineRule="auto" w:line="360"/>
        <w:rPr>
          <w:rFonts w:ascii="Arial" w:hAnsi="Arial"/>
        </w:rPr>
      </w:pPr>
      <w:r>
        <w:rPr>
          <w:rFonts w:cs="" w:ascii="Arial" w:hAnsi="Arial" w:cstheme="majorBidi"/>
          <w:sz w:val="24"/>
          <w:szCs w:val="24"/>
        </w:rPr>
        <w:t>dokumentacja powykonawcza (zgodnie z art. 3, pkt 14 ustawy Prawo budowlane z dnia 7 lipca 1994 r. – Dz. U. z 2003 r. Nr 207, poz. 2016 z późniejszymi zmianami).</w:t>
      </w:r>
    </w:p>
    <w:p>
      <w:pPr>
        <w:pStyle w:val="Normal"/>
        <w:spacing w:lineRule="auto" w:line="360"/>
        <w:rPr>
          <w:rFonts w:ascii="Arial" w:hAnsi="Arial"/>
        </w:rPr>
      </w:pPr>
      <w:r>
        <w:rPr>
          <w:rFonts w:cs="" w:ascii="Arial" w:hAnsi="Arial" w:cstheme="majorBidi"/>
          <w:sz w:val="24"/>
          <w:szCs w:val="24"/>
        </w:rPr>
        <w:t>Montaż elementów instalacji kablowych linii energetycznych należy wykonywać na podstawie dokumentacji projektowej i szczegółowej specyfikacji technicznej wykonania i odbioru robót montażowych i instalacyjnych, opracowanych dla konkretnego przedmiotu zamówienia.</w:t>
      </w:r>
    </w:p>
    <w:p>
      <w:pPr>
        <w:pStyle w:val="Heading1"/>
        <w:numPr>
          <w:ilvl w:val="0"/>
          <w:numId w:val="1"/>
        </w:numPr>
        <w:rPr>
          <w:rFonts w:ascii="Arial" w:hAnsi="Arial"/>
        </w:rPr>
      </w:pPr>
      <w:bookmarkStart w:id="16" w:name="__RefHeading___Toc880_3592927575"/>
      <w:bookmarkStart w:id="17" w:name="_Toc124674379"/>
      <w:bookmarkEnd w:id="16"/>
      <w:r>
        <w:rPr>
          <w:rFonts w:cs="" w:cstheme="majorBidi"/>
          <w:bCs/>
          <w:szCs w:val="28"/>
        </w:rPr>
        <w:t>Materiały</w:t>
      </w:r>
      <w:bookmarkEnd w:id="17"/>
    </w:p>
    <w:p>
      <w:pPr>
        <w:pStyle w:val="Normal"/>
        <w:rPr>
          <w:rFonts w:ascii="Arial" w:hAnsi="Arial"/>
        </w:rPr>
      </w:pPr>
      <w:r>
        <w:rPr>
          <w:rFonts w:ascii="Arial" w:hAnsi="Arial"/>
        </w:rPr>
      </w:r>
    </w:p>
    <w:p>
      <w:pPr>
        <w:pStyle w:val="Heading2"/>
        <w:numPr>
          <w:ilvl w:val="1"/>
          <w:numId w:val="1"/>
        </w:numPr>
        <w:rPr>
          <w:rFonts w:ascii="Arial" w:hAnsi="Arial"/>
        </w:rPr>
      </w:pPr>
      <w:bookmarkStart w:id="18" w:name="__RefHeading___Toc882_3592927575"/>
      <w:bookmarkStart w:id="19" w:name="_Toc124674380"/>
      <w:bookmarkEnd w:id="18"/>
      <w:r>
        <w:rPr>
          <w:rFonts w:cs="" w:cstheme="majorBidi"/>
          <w:b w:val="false"/>
          <w:sz w:val="24"/>
          <w:szCs w:val="24"/>
        </w:rPr>
        <w:t>Wymagania dotyczące właściwości materiałów</w:t>
      </w:r>
      <w:bookmarkEnd w:id="19"/>
    </w:p>
    <w:p>
      <w:pPr>
        <w:pStyle w:val="Normal"/>
        <w:spacing w:lineRule="auto" w:line="360"/>
        <w:ind w:firstLine="576"/>
        <w:jc w:val="both"/>
        <w:rPr>
          <w:rFonts w:ascii="Arial" w:hAnsi="Arial"/>
        </w:rPr>
      </w:pPr>
      <w:r>
        <w:rPr>
          <w:rFonts w:cs="" w:ascii="Arial" w:hAnsi="Arial" w:cstheme="majorBidi"/>
          <w:sz w:val="24"/>
          <w:szCs w:val="24"/>
        </w:rPr>
        <w:t>Wszelkie nazwy własne produktów i materiałów przywołane w specyfikacji służą ustaleniu pożądanego standardu wykonania i określenia właściwości i wymogów technicznych założonych w dokumentacji technicznej dla projektowanych rozwiązań.</w:t>
      </w:r>
    </w:p>
    <w:p>
      <w:pPr>
        <w:pStyle w:val="Normal"/>
        <w:spacing w:lineRule="auto" w:line="360"/>
        <w:jc w:val="both"/>
        <w:rPr>
          <w:rFonts w:ascii="Arial" w:hAnsi="Arial"/>
        </w:rPr>
      </w:pPr>
      <w:r>
        <w:rPr>
          <w:rFonts w:cs="" w:ascii="Arial" w:hAnsi="Arial" w:cstheme="majorBidi"/>
          <w:sz w:val="24"/>
          <w:szCs w:val="24"/>
        </w:rPr>
        <w:tab/>
        <w:t>Dopuszcza się zamieszczenie rozwiązań w oparciu o produkty (wyroby) innych producentów pod warunkiem:</w:t>
      </w:r>
    </w:p>
    <w:p>
      <w:pPr>
        <w:pStyle w:val="ListParagraph"/>
        <w:numPr>
          <w:ilvl w:val="0"/>
          <w:numId w:val="5"/>
        </w:numPr>
        <w:spacing w:lineRule="auto" w:line="360"/>
        <w:jc w:val="both"/>
        <w:rPr>
          <w:rFonts w:ascii="Arial" w:hAnsi="Arial"/>
        </w:rPr>
      </w:pPr>
      <w:r>
        <w:rPr>
          <w:rFonts w:cs="" w:ascii="Arial" w:hAnsi="Arial" w:cstheme="majorBidi"/>
          <w:sz w:val="24"/>
          <w:szCs w:val="24"/>
        </w:rPr>
        <w:t>spełniania tych samych właściwości technicznych,</w:t>
      </w:r>
    </w:p>
    <w:p>
      <w:pPr>
        <w:pStyle w:val="ListParagraph"/>
        <w:numPr>
          <w:ilvl w:val="0"/>
          <w:numId w:val="5"/>
        </w:numPr>
        <w:spacing w:lineRule="auto" w:line="360"/>
        <w:jc w:val="both"/>
        <w:rPr>
          <w:rFonts w:ascii="Arial" w:hAnsi="Arial"/>
        </w:rPr>
      </w:pPr>
      <w:r>
        <w:rPr>
          <w:rFonts w:cs="" w:ascii="Arial" w:hAnsi="Arial" w:cstheme="majorBidi"/>
          <w:sz w:val="24"/>
          <w:szCs w:val="24"/>
        </w:rPr>
        <w:t>przedstawienia zamiennych rozwiązań na piśmie (dane techniczne, atesty, dopuszczenia do stosowania, uzyskanie akceptacji projektanta).</w:t>
      </w:r>
    </w:p>
    <w:p>
      <w:pPr>
        <w:pStyle w:val="Normal"/>
        <w:spacing w:lineRule="auto" w:line="360"/>
        <w:ind w:firstLine="567"/>
        <w:jc w:val="both"/>
        <w:rPr>
          <w:rFonts w:ascii="Arial" w:hAnsi="Arial"/>
        </w:rPr>
      </w:pPr>
      <w:r>
        <w:rPr>
          <w:rFonts w:cs="" w:ascii="Arial" w:hAnsi="Arial" w:cstheme="majorBidi"/>
          <w:sz w:val="24"/>
          <w:szCs w:val="24"/>
        </w:rPr>
        <w:t>Do wykonania i montażu instalacji, urządzeń elektrycznych i odbiorników energii elektrycznej w obiektach budowlanych należy stosować kable, osprzęt oraz aparaturę i urządzenia elektryczne posiadające dopuszczenie do stosowania w budownictwie.</w:t>
      </w:r>
    </w:p>
    <w:p>
      <w:pPr>
        <w:pStyle w:val="Normal"/>
        <w:spacing w:lineRule="auto" w:line="360"/>
        <w:jc w:val="both"/>
        <w:rPr>
          <w:rFonts w:ascii="Arial" w:hAnsi="Arial"/>
        </w:rPr>
      </w:pPr>
      <w:r>
        <w:rPr>
          <w:rFonts w:cs="" w:ascii="Arial" w:hAnsi="Arial" w:cstheme="majorBidi"/>
          <w:sz w:val="24"/>
          <w:szCs w:val="24"/>
        </w:rPr>
        <w:t>Za dopuszczone do obrotu i stosowania uznaje się wyroby, dla których producent lub jego upoważniony przedstawiciel:</w:t>
      </w:r>
    </w:p>
    <w:p>
      <w:pPr>
        <w:pStyle w:val="ListParagraph"/>
        <w:numPr>
          <w:ilvl w:val="0"/>
          <w:numId w:val="6"/>
        </w:numPr>
        <w:spacing w:lineRule="auto" w:line="360"/>
        <w:jc w:val="both"/>
        <w:rPr>
          <w:rFonts w:ascii="Arial" w:hAnsi="Arial"/>
        </w:rPr>
      </w:pPr>
      <w:r>
        <w:rPr>
          <w:rFonts w:cs="" w:ascii="Arial" w:hAnsi="Arial" w:cstheme="majorBidi"/>
          <w:sz w:val="24"/>
          <w:szCs w:val="24"/>
        </w:rPr>
        <w:t>dokonał oceny zgodności z wymaganiami dokumentu odniesienia według określonego systemu oceny zgodności,</w:t>
      </w:r>
    </w:p>
    <w:p>
      <w:pPr>
        <w:pStyle w:val="ListParagraph"/>
        <w:numPr>
          <w:ilvl w:val="0"/>
          <w:numId w:val="6"/>
        </w:numPr>
        <w:spacing w:lineRule="auto" w:line="360"/>
        <w:jc w:val="both"/>
        <w:rPr>
          <w:rFonts w:ascii="Arial" w:hAnsi="Arial"/>
        </w:rPr>
      </w:pPr>
      <w:r>
        <w:rPr>
          <w:rFonts w:cs="" w:ascii="Arial" w:hAnsi="Arial" w:cstheme="majorBidi"/>
          <w:sz w:val="24"/>
          <w:szCs w:val="24"/>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pPr>
        <w:pStyle w:val="ListParagraph"/>
        <w:numPr>
          <w:ilvl w:val="0"/>
          <w:numId w:val="6"/>
        </w:numPr>
        <w:spacing w:lineRule="auto" w:line="360"/>
        <w:jc w:val="both"/>
        <w:rPr>
          <w:rFonts w:ascii="Arial" w:hAnsi="Arial"/>
        </w:rPr>
      </w:pPr>
      <w:r>
        <w:rPr>
          <w:rFonts w:cs="" w:ascii="Arial" w:hAnsi="Arial" w:cstheme="majorBidi"/>
          <w:sz w:val="24"/>
          <w:szCs w:val="24"/>
        </w:rPr>
        <w:t>oznakował wyroby znakiem CE lub znakiem budowlanym B zgodnie z obowiązującymi przepisami,</w:t>
      </w:r>
    </w:p>
    <w:p>
      <w:pPr>
        <w:pStyle w:val="ListParagraph"/>
        <w:numPr>
          <w:ilvl w:val="0"/>
          <w:numId w:val="6"/>
        </w:numPr>
        <w:spacing w:lineRule="auto" w:line="360"/>
        <w:jc w:val="both"/>
        <w:rPr>
          <w:rFonts w:ascii="Arial" w:hAnsi="Arial"/>
        </w:rPr>
      </w:pPr>
      <w:r>
        <w:rPr>
          <w:rFonts w:cs="" w:ascii="Arial" w:hAnsi="Arial" w:cstheme="majorBidi"/>
          <w:sz w:val="24"/>
          <w:szCs w:val="24"/>
        </w:rPr>
        <w:t>wydał deklarację zgodności z uznanymi regułami sztuki budowlanej, dla wyrobu umieszczonego w określonym przez Komisję Europejską wykazie wyrobów mających niewielkie znaczenie dla zdrowia i bezpieczeństwa,</w:t>
      </w:r>
    </w:p>
    <w:p>
      <w:pPr>
        <w:pStyle w:val="ListParagraph"/>
        <w:numPr>
          <w:ilvl w:val="0"/>
          <w:numId w:val="6"/>
        </w:numPr>
        <w:spacing w:lineRule="auto" w:line="360"/>
        <w:jc w:val="both"/>
        <w:rPr>
          <w:rFonts w:ascii="Arial" w:hAnsi="Arial"/>
        </w:rPr>
      </w:pPr>
      <w:r>
        <w:rPr>
          <w:rFonts w:cs="" w:ascii="Arial" w:hAnsi="Arial" w:cstheme="majorBidi"/>
          <w:sz w:val="24"/>
          <w:szCs w:val="24"/>
        </w:rPr>
        <w:t>wydał oświadczenie, że zapewniono zgodność wyrobu budowlanego, dopuszczonego do jednostkowego zastosowania w obiekcie budowlanym, z indywidualną dokumentacją projektową, sporządzoną przez projektanta obiektu lub z nim uzgodnioną.</w:t>
      </w:r>
    </w:p>
    <w:p>
      <w:pPr>
        <w:pStyle w:val="Normal"/>
        <w:spacing w:lineRule="auto" w:line="360"/>
        <w:jc w:val="both"/>
        <w:rPr>
          <w:rFonts w:ascii="Arial" w:hAnsi="Arial"/>
        </w:rPr>
      </w:pPr>
      <w:r>
        <w:rPr>
          <w:rFonts w:cs="" w:ascii="Arial" w:hAnsi="Arial" w:cstheme="majorBidi"/>
          <w:sz w:val="24"/>
          <w:szCs w:val="24"/>
        </w:rPr>
        <w:tab/>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pPr>
        <w:pStyle w:val="Heading2"/>
        <w:numPr>
          <w:ilvl w:val="1"/>
          <w:numId w:val="1"/>
        </w:numPr>
        <w:rPr>
          <w:rFonts w:ascii="Arial" w:hAnsi="Arial"/>
        </w:rPr>
      </w:pPr>
      <w:bookmarkStart w:id="20" w:name="__RefHeading___Toc884_3592927575"/>
      <w:bookmarkStart w:id="21" w:name="_Toc124674381"/>
      <w:bookmarkEnd w:id="20"/>
      <w:r>
        <w:rPr>
          <w:rFonts w:cs="" w:cstheme="majorBidi"/>
          <w:b w:val="false"/>
          <w:sz w:val="24"/>
          <w:szCs w:val="24"/>
        </w:rPr>
        <w:t>Rodzaje materiałów</w:t>
      </w:r>
      <w:bookmarkEnd w:id="21"/>
    </w:p>
    <w:p>
      <w:pPr>
        <w:pStyle w:val="Normal"/>
        <w:spacing w:lineRule="auto" w:line="360"/>
        <w:ind w:firstLine="576"/>
        <w:rPr>
          <w:rFonts w:ascii="Arial" w:hAnsi="Arial"/>
        </w:rPr>
      </w:pPr>
      <w:r>
        <w:rPr>
          <w:rFonts w:cs="" w:ascii="Arial" w:hAnsi="Arial" w:cstheme="majorBidi"/>
          <w:sz w:val="24"/>
          <w:szCs w:val="24"/>
        </w:rPr>
        <w:t xml:space="preserve">Wszystkie materiały do wykonania instalacji elektrycznej powinny odpowiadać wymaganiom zawartym w dokumentach odniesienia (normach, aprobatach technicznych). </w:t>
      </w:r>
    </w:p>
    <w:p>
      <w:pPr>
        <w:pStyle w:val="Normal"/>
        <w:spacing w:lineRule="auto" w:line="360"/>
        <w:rPr>
          <w:rFonts w:ascii="Arial" w:hAnsi="Arial"/>
        </w:rPr>
      </w:pPr>
      <w:r>
        <w:rPr>
          <w:rFonts w:cs="" w:ascii="Arial" w:hAnsi="Arial" w:cstheme="majorBidi"/>
          <w:sz w:val="24"/>
          <w:szCs w:val="24"/>
        </w:rPr>
        <w:t>Jednocześnie praktyczne przykłady zastosowania elementów linii kablowych, w tym urządzeń elektroenergetycznych zawierają opracowania typizacyjne – szczególnie albumy producentów lub specjalizujących się w tym zakresie biur naukowo-badawczych i projektowych, które mogą być wykorzystane w praktyce.</w:t>
      </w:r>
    </w:p>
    <w:p>
      <w:pPr>
        <w:pStyle w:val="Heading2"/>
        <w:numPr>
          <w:ilvl w:val="1"/>
          <w:numId w:val="1"/>
        </w:numPr>
        <w:rPr>
          <w:rFonts w:ascii="Arial" w:hAnsi="Arial"/>
        </w:rPr>
      </w:pPr>
      <w:bookmarkStart w:id="22" w:name="__RefHeading___Toc886_3592927575"/>
      <w:bookmarkStart w:id="23" w:name="_Toc124674382"/>
      <w:bookmarkEnd w:id="22"/>
      <w:r>
        <w:rPr>
          <w:rFonts w:cs="" w:cstheme="majorBidi"/>
          <w:b w:val="false"/>
          <w:sz w:val="24"/>
          <w:szCs w:val="24"/>
        </w:rPr>
        <w:t>Warunki przechowywania materiałów do montażu instalacji elektrycznych</w:t>
      </w:r>
      <w:bookmarkEnd w:id="23"/>
    </w:p>
    <w:p>
      <w:pPr>
        <w:pStyle w:val="Normal"/>
        <w:spacing w:lineRule="auto" w:line="360"/>
        <w:ind w:firstLine="576"/>
        <w:rPr>
          <w:rFonts w:ascii="Arial" w:hAnsi="Arial"/>
        </w:rPr>
      </w:pPr>
      <w:r>
        <w:rPr>
          <w:rFonts w:cs="" w:ascii="Arial" w:hAnsi="Arial" w:cstheme="majorBidi"/>
          <w:sz w:val="24"/>
          <w:szCs w:val="24"/>
        </w:rPr>
        <w:t>Wszystkie materiały pakowane powinny być przechowywane i magazynowane zgodnie z instrukcją producenta oraz wymaganiami odpowiednich norm.</w:t>
      </w:r>
    </w:p>
    <w:p>
      <w:pPr>
        <w:pStyle w:val="Normal"/>
        <w:spacing w:lineRule="auto" w:line="360"/>
        <w:rPr>
          <w:rFonts w:ascii="Arial" w:hAnsi="Arial"/>
        </w:rPr>
      </w:pPr>
      <w:r>
        <w:rPr>
          <w:rFonts w:cs="" w:ascii="Arial" w:hAnsi="Arial" w:cstheme="majorBidi"/>
          <w:sz w:val="24"/>
          <w:szCs w:val="24"/>
        </w:rPr>
        <w:tab/>
        <w:t xml:space="preserve">Kable należy przechowywać na bębnach lub jeśli ilość kabla jest niewielka zwinięte w tzw. „ósemkę”. Końce kabli producent zabezpiecza przed przedostawaniem się wilgoci do wewnątrz i wyprowadza poza opakowanie dla ułatwienia kontroli parametrów (ciągłość żył, przekrój), w przypadku gdy dokonuje się odcięcia części kabla – należy zabezpieczyć pozostający w magazynie odcinek zalutowaną osłoną ołowianą lub kapturkiem, najlepiej termokurczliwym. W magazynie o miękkim podłożu należy ułożyć twarde podkłady pod tarcze bębna i zabezpieczyć klinami przed samoczynnym toczeniem.  </w:t>
      </w:r>
    </w:p>
    <w:p>
      <w:pPr>
        <w:pStyle w:val="Normal"/>
        <w:spacing w:lineRule="auto" w:line="360"/>
        <w:rPr>
          <w:rFonts w:ascii="Arial" w:hAnsi="Arial"/>
        </w:rPr>
      </w:pPr>
      <w:r>
        <w:rPr>
          <w:rFonts w:cs="" w:ascii="Arial" w:hAnsi="Arial" w:cstheme="majorBidi"/>
          <w:sz w:val="24"/>
          <w:szCs w:val="24"/>
        </w:rPr>
        <w:t xml:space="preserve"> </w:t>
      </w:r>
      <w:r>
        <w:rPr>
          <w:rFonts w:cs="" w:ascii="Arial" w:hAnsi="Arial" w:cstheme="majorBidi"/>
          <w:sz w:val="24"/>
          <w:szCs w:val="24"/>
        </w:rPr>
        <w:tab/>
        <w:t>Pozostały sprzęt i osprzęt podstawowy i pomocniczy należy przechowywać w oryginalnych opakowaniach, kartonach, opakowaniach foliowych itp. Szczególnie należy chronić przed wpływami atmosferycznym oraz zawilgoceniem.</w:t>
      </w:r>
    </w:p>
    <w:p>
      <w:pPr>
        <w:pStyle w:val="Normal"/>
        <w:spacing w:lineRule="auto" w:line="360"/>
        <w:rPr>
          <w:rFonts w:ascii="Arial" w:hAnsi="Arial"/>
        </w:rPr>
      </w:pPr>
      <w:r>
        <w:rPr>
          <w:rFonts w:cs="" w:ascii="Arial" w:hAnsi="Arial" w:cstheme="majorBidi"/>
          <w:sz w:val="24"/>
          <w:szCs w:val="24"/>
        </w:rPr>
        <w:t>Pomieszczenie magazynowe do przechowywania wyrobów opakowanych powinno być suche i zabezpieczone przed zawilgoceniem.</w:t>
      </w:r>
    </w:p>
    <w:p>
      <w:pPr>
        <w:pStyle w:val="Heading1"/>
        <w:numPr>
          <w:ilvl w:val="0"/>
          <w:numId w:val="1"/>
        </w:numPr>
        <w:rPr>
          <w:rFonts w:ascii="Arial" w:hAnsi="Arial"/>
        </w:rPr>
      </w:pPr>
      <w:bookmarkStart w:id="24" w:name="__RefHeading___Toc888_3592927575"/>
      <w:bookmarkStart w:id="25" w:name="_Toc124674383"/>
      <w:bookmarkEnd w:id="24"/>
      <w:r>
        <w:rPr>
          <w:rFonts w:cs="" w:cstheme="majorBidi"/>
          <w:bCs/>
          <w:szCs w:val="28"/>
        </w:rPr>
        <w:t>Sprzęt</w:t>
      </w:r>
      <w:bookmarkEnd w:id="25"/>
    </w:p>
    <w:p>
      <w:pPr>
        <w:pStyle w:val="Normal"/>
        <w:tabs>
          <w:tab w:val="clear" w:pos="708"/>
          <w:tab w:val="left" w:pos="432" w:leader="none"/>
        </w:tabs>
        <w:spacing w:lineRule="auto" w:line="360"/>
        <w:rPr>
          <w:rFonts w:ascii="Arial" w:hAnsi="Arial" w:cs="" w:cstheme="majorBidi"/>
          <w:kern w:val="2"/>
          <w:sz w:val="24"/>
          <w:szCs w:val="24"/>
        </w:rPr>
      </w:pPr>
      <w:r>
        <w:rPr>
          <w:rFonts w:cs="" w:cstheme="majorBidi" w:ascii="Arial" w:hAnsi="Arial"/>
          <w:kern w:val="2"/>
          <w:sz w:val="24"/>
          <w:szCs w:val="24"/>
        </w:rPr>
      </w:r>
    </w:p>
    <w:p>
      <w:pPr>
        <w:pStyle w:val="Normal"/>
        <w:spacing w:lineRule="auto" w:line="360"/>
        <w:ind w:firstLine="432"/>
        <w:jc w:val="both"/>
        <w:rPr>
          <w:rFonts w:ascii="Arial" w:hAnsi="Arial"/>
        </w:rPr>
      </w:pPr>
      <w:r>
        <w:rPr>
          <w:rFonts w:cs="" w:ascii="Arial" w:hAnsi="Arial" w:cstheme="majorBidi"/>
          <w:sz w:val="24"/>
          <w:szCs w:val="24"/>
        </w:rPr>
        <w:t>Prace można wykonywać przy pomocy wszelkiego sprzętu zaakceptowanego przez Inspektora nadzoru.</w:t>
      </w:r>
    </w:p>
    <w:p>
      <w:pPr>
        <w:pStyle w:val="Heading1"/>
        <w:numPr>
          <w:ilvl w:val="0"/>
          <w:numId w:val="1"/>
        </w:numPr>
        <w:rPr>
          <w:rFonts w:ascii="Arial" w:hAnsi="Arial"/>
        </w:rPr>
      </w:pPr>
      <w:bookmarkStart w:id="26" w:name="__RefHeading___Toc890_3592927575"/>
      <w:bookmarkStart w:id="27" w:name="_Toc124674384"/>
      <w:bookmarkEnd w:id="26"/>
      <w:r>
        <w:rPr>
          <w:rFonts w:cs="" w:cstheme="majorBidi"/>
          <w:bCs/>
          <w:szCs w:val="28"/>
        </w:rPr>
        <w:t>Transport materiałów na budowę</w:t>
      </w:r>
      <w:bookmarkEnd w:id="27"/>
    </w:p>
    <w:p>
      <w:pPr>
        <w:pStyle w:val="Normal"/>
        <w:spacing w:lineRule="auto" w:line="360"/>
        <w:rPr>
          <w:rFonts w:ascii="Arial" w:hAnsi="Arial"/>
        </w:rPr>
      </w:pPr>
      <w:r>
        <w:rPr>
          <w:rFonts w:ascii="Arial" w:hAnsi="Arial"/>
        </w:rPr>
      </w:r>
    </w:p>
    <w:p>
      <w:pPr>
        <w:pStyle w:val="Normal"/>
        <w:spacing w:lineRule="auto" w:line="360"/>
        <w:ind w:firstLine="576"/>
        <w:jc w:val="both"/>
        <w:rPr>
          <w:rFonts w:ascii="Arial" w:hAnsi="Arial"/>
        </w:rPr>
      </w:pPr>
      <w:r>
        <w:rPr>
          <w:rFonts w:cs="" w:ascii="Arial" w:hAnsi="Arial" w:cstheme="majorBidi"/>
          <w:sz w:val="24"/>
          <w:szCs w:val="24"/>
        </w:rPr>
        <w:t>Podczas transportu na budowę ze składu przyobiektowego do miejsca wbudowania, należy zachować ostrożność aby nie uszkodzić materiałów do montażu. Minimalne temperatury wykonywania transportu ze względu na możliwość uszkodzenia izolacji, wynoszą dla kabli nawiniętych na bębny: –15°C oraz –5°C dla zwiniętych w „ósemkę” odcinków.</w:t>
      </w:r>
    </w:p>
    <w:p>
      <w:pPr>
        <w:pStyle w:val="Normal"/>
        <w:spacing w:lineRule="auto" w:line="360"/>
        <w:jc w:val="both"/>
        <w:rPr>
          <w:rFonts w:ascii="Arial" w:hAnsi="Arial"/>
        </w:rPr>
      </w:pPr>
      <w:r>
        <w:rPr>
          <w:rFonts w:cs="" w:ascii="Arial" w:hAnsi="Arial" w:cstheme="majorBidi"/>
          <w:sz w:val="24"/>
          <w:szCs w:val="24"/>
        </w:rPr>
        <w:t>Bębny z kablami przewożone w skrzyniach samochodowych powinny być ustawione na krawędziach tarcz a tarcze bębnów przymocowane do dna skrzyni. Umieszczanie i zdejmowanie bębnów z samochodu tylko za pomocą żurawia.</w:t>
      </w:r>
    </w:p>
    <w:p>
      <w:pPr>
        <w:pStyle w:val="Normal"/>
        <w:spacing w:lineRule="auto" w:line="360"/>
        <w:jc w:val="both"/>
        <w:rPr>
          <w:rFonts w:ascii="Arial" w:hAnsi="Arial"/>
        </w:rPr>
      </w:pPr>
      <w:r>
        <w:rPr>
          <w:rFonts w:cs="" w:ascii="Arial" w:hAnsi="Arial" w:cstheme="majorBidi"/>
          <w:sz w:val="24"/>
          <w:szCs w:val="24"/>
        </w:rPr>
        <w:t>Transport słupów oświetleniowych na przyczepach dłużycowych.</w:t>
      </w:r>
    </w:p>
    <w:p>
      <w:pPr>
        <w:pStyle w:val="Heading1"/>
        <w:numPr>
          <w:ilvl w:val="0"/>
          <w:numId w:val="1"/>
        </w:numPr>
        <w:rPr>
          <w:rFonts w:ascii="Arial" w:hAnsi="Arial"/>
        </w:rPr>
      </w:pPr>
      <w:bookmarkStart w:id="28" w:name="__RefHeading___Toc892_3592927575"/>
      <w:bookmarkStart w:id="29" w:name="_Toc124674385"/>
      <w:bookmarkEnd w:id="28"/>
      <w:r>
        <w:rPr>
          <w:rFonts w:cs="" w:cstheme="majorBidi"/>
          <w:bCs/>
          <w:kern w:val="0"/>
          <w:szCs w:val="28"/>
        </w:rPr>
        <w:t>Wykonanie robót</w:t>
      </w:r>
      <w:bookmarkEnd w:id="29"/>
    </w:p>
    <w:p>
      <w:pPr>
        <w:pStyle w:val="Heading2"/>
        <w:rPr/>
      </w:pPr>
      <w:r>
        <w:rPr/>
      </w:r>
      <w:bookmarkStart w:id="30" w:name="_Toc96070876"/>
      <w:bookmarkStart w:id="31" w:name="_Toc96070876"/>
      <w:bookmarkEnd w:id="31"/>
    </w:p>
    <w:p>
      <w:pPr>
        <w:pStyle w:val="Heading2"/>
        <w:numPr>
          <w:ilvl w:val="1"/>
          <w:numId w:val="1"/>
        </w:numPr>
        <w:rPr>
          <w:rFonts w:ascii="Arial" w:hAnsi="Arial"/>
        </w:rPr>
      </w:pPr>
      <w:bookmarkStart w:id="32" w:name="__RefHeading___Toc894_3592927575"/>
      <w:bookmarkStart w:id="33" w:name="_Toc103861809"/>
      <w:bookmarkStart w:id="34" w:name="_Toc124674386"/>
      <w:bookmarkStart w:id="35" w:name="_Toc96070876_kopia_1"/>
      <w:bookmarkEnd w:id="32"/>
      <w:bookmarkEnd w:id="35"/>
      <w:r>
        <w:rPr>
          <w:rFonts w:cs="" w:cstheme="majorBidi"/>
          <w:b w:val="false"/>
          <w:sz w:val="24"/>
          <w:szCs w:val="24"/>
        </w:rPr>
        <w:t>Trasowanie instalacji</w:t>
      </w:r>
      <w:bookmarkEnd w:id="33"/>
      <w:bookmarkEnd w:id="34"/>
    </w:p>
    <w:p>
      <w:pPr>
        <w:pStyle w:val="BodyText"/>
        <w:spacing w:lineRule="auto" w:line="360"/>
        <w:ind w:firstLine="576"/>
        <w:rPr>
          <w:rFonts w:ascii="Arial" w:hAnsi="Arial"/>
        </w:rPr>
      </w:pPr>
      <w:r>
        <w:rPr>
          <w:rFonts w:ascii="Arial" w:hAnsi="Arial"/>
          <w:b w:val="false"/>
          <w:sz w:val="24"/>
          <w:szCs w:val="24"/>
        </w:rPr>
        <w:t>Trasy instalacji elektrycznych powinny przebiegać bezkolizyjnie z innymi instalacjami i urządzeniami, powinna być przejrzysta, prosta i dostępna dla prawidłowej konserwacji oraz remontów. Wskazane jest, aby przebiegały w liniach poziomych i pionowych.</w:t>
      </w:r>
    </w:p>
    <w:p>
      <w:pPr>
        <w:pStyle w:val="Heading2"/>
        <w:numPr>
          <w:ilvl w:val="1"/>
          <w:numId w:val="1"/>
        </w:numPr>
        <w:rPr>
          <w:rFonts w:ascii="Arial" w:hAnsi="Arial"/>
        </w:rPr>
      </w:pPr>
      <w:bookmarkStart w:id="36" w:name="__RefHeading___Toc896_3592927575"/>
      <w:bookmarkStart w:id="37" w:name="_Toc103861810"/>
      <w:bookmarkStart w:id="38" w:name="_Toc124674387"/>
      <w:bookmarkEnd w:id="36"/>
      <w:r>
        <w:rPr>
          <w:rFonts w:cs="" w:cstheme="majorBidi"/>
          <w:b w:val="false"/>
          <w:sz w:val="24"/>
          <w:szCs w:val="24"/>
        </w:rPr>
        <w:t>Montaż konstrukcji wsporczych oraz uchwytów</w:t>
      </w:r>
      <w:bookmarkEnd w:id="37"/>
      <w:bookmarkEnd w:id="38"/>
    </w:p>
    <w:p>
      <w:pPr>
        <w:pStyle w:val="BodyText"/>
        <w:spacing w:lineRule="auto" w:line="360"/>
        <w:ind w:firstLine="576"/>
        <w:rPr>
          <w:rFonts w:ascii="Arial" w:hAnsi="Arial"/>
        </w:rPr>
      </w:pPr>
      <w:r>
        <w:rPr>
          <w:rFonts w:ascii="Arial" w:hAnsi="Arial"/>
          <w:b w:val="false"/>
          <w:sz w:val="24"/>
          <w:szCs w:val="24"/>
        </w:rPr>
        <w:t>Konstrukcje wsporcze i uchwyty przewidziane do ułożenia na nich instalacji elektrycznych, bez względu na rodzaj instalacji, powinny być zamocowane do podłoża w sposób trwały, uwzględniający warunki lokalne i technologiczne, w jakich dana instalacja będzie pracować, oraz sam rodzaj instalacji.</w:t>
      </w:r>
    </w:p>
    <w:p>
      <w:pPr>
        <w:pStyle w:val="Heading2"/>
        <w:numPr>
          <w:ilvl w:val="1"/>
          <w:numId w:val="1"/>
        </w:numPr>
        <w:rPr>
          <w:rFonts w:ascii="Arial" w:hAnsi="Arial"/>
        </w:rPr>
      </w:pPr>
      <w:bookmarkStart w:id="39" w:name="__RefHeading___Toc898_3592927575"/>
      <w:bookmarkStart w:id="40" w:name="_Toc103861811"/>
      <w:bookmarkStart w:id="41" w:name="_Toc124674388"/>
      <w:bookmarkEnd w:id="39"/>
      <w:r>
        <w:rPr>
          <w:rFonts w:cs="" w:cstheme="majorBidi"/>
          <w:b w:val="false"/>
          <w:sz w:val="24"/>
          <w:szCs w:val="24"/>
        </w:rPr>
        <w:t>Podejścia do odbiorników</w:t>
      </w:r>
      <w:bookmarkEnd w:id="40"/>
      <w:bookmarkEnd w:id="41"/>
    </w:p>
    <w:p>
      <w:pPr>
        <w:pStyle w:val="BodyText"/>
        <w:spacing w:lineRule="auto" w:line="360"/>
        <w:ind w:firstLine="576"/>
        <w:rPr>
          <w:rFonts w:ascii="Arial" w:hAnsi="Arial"/>
        </w:rPr>
      </w:pPr>
      <w:r>
        <w:rPr>
          <w:rFonts w:ascii="Arial" w:hAnsi="Arial"/>
          <w:b w:val="false"/>
          <w:sz w:val="24"/>
          <w:szCs w:val="24"/>
        </w:rPr>
        <w:t>Podejścia instalacji do odbiorników należy wykonywać w miejscach bezkolizyjnych, bezpiecznych oraz sposób estetyczny. Podejścia zwieszakowe należy wykonywać, jako sztywne lub elastyczne w zależności od warunków technologicznych i rodzaju wykonywanej instalacji. Do odbiorników zamocowanych na ścianach, stropach lub konstrukcjach, podejścia należy wykonywać przewodami ułożonymi na tych ścianach, stropach lub konstrukcjach budowlanych, a także na innego rodzaju podłożach np. kształtowniki, korytka itp.</w:t>
      </w:r>
    </w:p>
    <w:p>
      <w:pPr>
        <w:pStyle w:val="Heading2"/>
        <w:numPr>
          <w:ilvl w:val="1"/>
          <w:numId w:val="1"/>
        </w:numPr>
        <w:rPr>
          <w:rFonts w:ascii="Arial" w:hAnsi="Arial"/>
        </w:rPr>
      </w:pPr>
      <w:bookmarkStart w:id="42" w:name="__RefHeading___Toc900_3592927575"/>
      <w:bookmarkStart w:id="43" w:name="_Toc103861812"/>
      <w:bookmarkStart w:id="44" w:name="_Toc124674389"/>
      <w:bookmarkEnd w:id="42"/>
      <w:r>
        <w:rPr>
          <w:rFonts w:cs="" w:cstheme="majorBidi"/>
          <w:b w:val="false"/>
          <w:sz w:val="24"/>
          <w:szCs w:val="24"/>
        </w:rPr>
        <w:t>Montaż osprzętu</w:t>
      </w:r>
      <w:bookmarkEnd w:id="43"/>
      <w:bookmarkEnd w:id="44"/>
    </w:p>
    <w:p>
      <w:pPr>
        <w:pStyle w:val="BodyText"/>
        <w:spacing w:lineRule="auto" w:line="360"/>
        <w:ind w:firstLine="576"/>
        <w:rPr>
          <w:rFonts w:ascii="Arial" w:hAnsi="Arial"/>
        </w:rPr>
      </w:pPr>
      <w:r>
        <w:rPr>
          <w:rFonts w:ascii="Arial" w:hAnsi="Arial"/>
          <w:b w:val="false"/>
          <w:sz w:val="24"/>
          <w:szCs w:val="24"/>
        </w:rPr>
        <w:t>Sprzęt i osprzęt instalacyjny należy mocować do podłoża w sposób trwały zapewniający mocne i bezpieczne jego osadzenie. Do mocowania sprzętu i osprzętu mogą służyć konstrukcje wsporcze lub konsolki osadzone na podłożu, przyspawane do stalowych elementów konstrukcji budowlanych lub przykręcone do podłoża za pomocą kołków i śrub rozporowych oraz kołków wstrzeliwanych. Uchwyty (haki) dla opraw z wieszakowych montowane w stropach należy mocować przez wkręcanie w metalowy kołek rozporowy lub wbetonowanie. Nie dopuszcza się mocowania haków za pomocą kołków rozporowych z tworzywa sztucznego.</w:t>
      </w:r>
    </w:p>
    <w:p>
      <w:pPr>
        <w:pStyle w:val="BodyText"/>
        <w:spacing w:lineRule="auto" w:line="360"/>
        <w:rPr>
          <w:rFonts w:ascii="Arial" w:hAnsi="Arial"/>
        </w:rPr>
      </w:pPr>
      <w:r>
        <w:rPr>
          <w:rFonts w:ascii="Arial" w:hAnsi="Arial"/>
          <w:b w:val="false"/>
          <w:sz w:val="24"/>
          <w:szCs w:val="24"/>
        </w:rPr>
        <w:t>Gniazda wtykowe i wyłączniki należy instalować w sposób niekolidujący z wyposażeniem pomieszczenia. W sanitariatach należy przestrzegać zasady poprawnego rozmieszczania sprzętu z uwzględnieniem przestrzeni ochronnych. Położenie wyłączników klawiszowych należy przyjmować takie, aby w całym pomieszczeniu było jednakowe. Gniazda wtykowe ze stykiem ochronnym należy instalować w takim położeniu, aby styk ten występował u góry. Przewody do gniazd wtykowych 2-biegunowych należy podłączać w taki sposób, aby przewód fazowy dochodził do lewego bieguna, a przewód neutralny do prawego bieguna.</w:t>
      </w:r>
    </w:p>
    <w:p>
      <w:pPr>
        <w:pStyle w:val="Heading2"/>
        <w:numPr>
          <w:ilvl w:val="1"/>
          <w:numId w:val="1"/>
        </w:numPr>
        <w:rPr>
          <w:rFonts w:ascii="Arial" w:hAnsi="Arial"/>
        </w:rPr>
      </w:pPr>
      <w:bookmarkStart w:id="45" w:name="__RefHeading___Toc902_3592927575"/>
      <w:bookmarkStart w:id="46" w:name="_Toc103861813"/>
      <w:bookmarkStart w:id="47" w:name="_Toc124674390"/>
      <w:bookmarkEnd w:id="45"/>
      <w:r>
        <w:rPr>
          <w:rFonts w:cs="" w:cstheme="majorBidi"/>
          <w:b w:val="false"/>
          <w:sz w:val="24"/>
          <w:szCs w:val="24"/>
        </w:rPr>
        <w:t>Układanie instalacji</w:t>
      </w:r>
      <w:bookmarkEnd w:id="46"/>
      <w:bookmarkEnd w:id="47"/>
    </w:p>
    <w:p>
      <w:pPr>
        <w:pStyle w:val="BodyText"/>
        <w:spacing w:lineRule="auto" w:line="360"/>
        <w:ind w:firstLine="576"/>
        <w:rPr>
          <w:rFonts w:ascii="Arial" w:hAnsi="Arial"/>
        </w:rPr>
      </w:pPr>
      <w:r>
        <w:rPr>
          <w:rFonts w:ascii="Arial" w:hAnsi="Arial"/>
          <w:b w:val="false"/>
          <w:sz w:val="24"/>
          <w:szCs w:val="24"/>
        </w:rPr>
        <w:t>Przewody izolowane kabelkowe na uchwytach.</w:t>
      </w:r>
    </w:p>
    <w:p>
      <w:pPr>
        <w:pStyle w:val="BodyText"/>
        <w:spacing w:lineRule="auto" w:line="360"/>
        <w:rPr>
          <w:rFonts w:ascii="Arial" w:hAnsi="Arial"/>
        </w:rPr>
      </w:pPr>
      <w:r>
        <w:rPr>
          <w:rFonts w:ascii="Arial" w:hAnsi="Arial"/>
          <w:b w:val="false"/>
          <w:sz w:val="24"/>
          <w:szCs w:val="24"/>
        </w:rPr>
        <w:t>W zależności od rodzaju pomieszczeń instalację należy wykonać:</w:t>
      </w:r>
    </w:p>
    <w:p>
      <w:pPr>
        <w:pStyle w:val="BodyText"/>
        <w:numPr>
          <w:ilvl w:val="0"/>
          <w:numId w:val="13"/>
        </w:numPr>
        <w:spacing w:lineRule="auto" w:line="360"/>
        <w:rPr>
          <w:rFonts w:ascii="Arial" w:hAnsi="Arial"/>
        </w:rPr>
      </w:pPr>
      <w:r>
        <w:rPr>
          <w:rFonts w:ascii="Arial" w:hAnsi="Arial"/>
          <w:b w:val="false"/>
          <w:sz w:val="24"/>
          <w:szCs w:val="24"/>
        </w:rPr>
        <w:t>w wykonaniu zwykłym,</w:t>
      </w:r>
    </w:p>
    <w:p>
      <w:pPr>
        <w:pStyle w:val="BodyText"/>
        <w:numPr>
          <w:ilvl w:val="0"/>
          <w:numId w:val="13"/>
        </w:numPr>
        <w:spacing w:lineRule="auto" w:line="360"/>
        <w:rPr>
          <w:rFonts w:ascii="Arial" w:hAnsi="Arial"/>
        </w:rPr>
      </w:pPr>
      <w:r>
        <w:rPr>
          <w:rFonts w:ascii="Arial" w:hAnsi="Arial"/>
          <w:b w:val="false"/>
          <w:sz w:val="24"/>
          <w:szCs w:val="24"/>
        </w:rPr>
        <w:t>w wykonaniu szczelnym.</w:t>
      </w:r>
    </w:p>
    <w:p>
      <w:pPr>
        <w:pStyle w:val="BodyText"/>
        <w:spacing w:lineRule="auto" w:line="360"/>
        <w:rPr>
          <w:rFonts w:ascii="Arial" w:hAnsi="Arial"/>
        </w:rPr>
      </w:pPr>
      <w:r>
        <w:rPr>
          <w:rFonts w:ascii="Arial" w:hAnsi="Arial"/>
          <w:b w:val="false"/>
          <w:sz w:val="24"/>
          <w:szCs w:val="24"/>
        </w:rPr>
        <w:t>Stosuje się następujące rodzaje instalacji:</w:t>
      </w:r>
    </w:p>
    <w:p>
      <w:pPr>
        <w:pStyle w:val="BodyText"/>
        <w:numPr>
          <w:ilvl w:val="0"/>
          <w:numId w:val="14"/>
        </w:numPr>
        <w:spacing w:lineRule="auto" w:line="360"/>
        <w:rPr>
          <w:rFonts w:ascii="Arial" w:hAnsi="Arial"/>
        </w:rPr>
      </w:pPr>
      <w:r>
        <w:rPr>
          <w:rFonts w:ascii="Arial" w:hAnsi="Arial"/>
          <w:b w:val="false"/>
          <w:sz w:val="24"/>
          <w:szCs w:val="24"/>
        </w:rPr>
        <w:t>pod tynkiem z osprzętem zwykłym lub bryzgoszczelnym,</w:t>
      </w:r>
    </w:p>
    <w:p>
      <w:pPr>
        <w:pStyle w:val="BodyText"/>
        <w:numPr>
          <w:ilvl w:val="0"/>
          <w:numId w:val="14"/>
        </w:numPr>
        <w:spacing w:lineRule="auto" w:line="360"/>
        <w:rPr>
          <w:rFonts w:ascii="Arial" w:hAnsi="Arial"/>
        </w:rPr>
      </w:pPr>
      <w:r>
        <w:rPr>
          <w:rFonts w:ascii="Arial" w:hAnsi="Arial"/>
          <w:b w:val="false"/>
          <w:sz w:val="24"/>
          <w:szCs w:val="24"/>
        </w:rPr>
        <w:t>w rurkach instalacyjnych p/t.</w:t>
      </w:r>
    </w:p>
    <w:p>
      <w:pPr>
        <w:pStyle w:val="BodyText"/>
        <w:spacing w:lineRule="auto" w:line="360"/>
        <w:rPr>
          <w:rFonts w:ascii="Arial" w:hAnsi="Arial"/>
        </w:rPr>
      </w:pPr>
      <w:r>
        <w:rPr>
          <w:rFonts w:ascii="Arial" w:hAnsi="Arial"/>
          <w:b w:val="false"/>
          <w:sz w:val="24"/>
          <w:szCs w:val="24"/>
        </w:rPr>
        <w:t>Przy wykonywaniu instalacji, jako szczelnej należy przewody i kable uszczelniać w sprzęcie i osprzęcie oraz aparatach za pomocą dławików. Średnica dławicy i otworu uszczelniającego pierścienia powinna być dostosowana do średnicy zewnętrznej przewodu lub kabla. Po dokręceniu dławic zaleca się dodatkowe uszczelnianie ich za pomocą odpowiednich uszczelniaczy.</w:t>
      </w:r>
    </w:p>
    <w:p>
      <w:pPr>
        <w:pStyle w:val="BodyText"/>
        <w:spacing w:lineRule="auto" w:line="360"/>
        <w:rPr>
          <w:rFonts w:ascii="Arial" w:hAnsi="Arial"/>
        </w:rPr>
      </w:pPr>
      <w:r>
        <w:rPr>
          <w:rFonts w:ascii="Arial" w:hAnsi="Arial"/>
          <w:b w:val="false"/>
          <w:sz w:val="24"/>
          <w:szCs w:val="24"/>
        </w:rPr>
        <w:t>Wykonanie instalacji p/t wymagać będzie ułożenia przewodów i zainstalowania osprzętu przed wykonaniem tynkowania. W przypadku wykonywania instalacji na ścianach niezbędne będzie wykucie odpowiednich bruzd pod przewody i ślepych wnęk pod osprzęt oraz ich zatynkowanie.</w:t>
      </w:r>
    </w:p>
    <w:p>
      <w:pPr>
        <w:pStyle w:val="BodyText"/>
        <w:spacing w:lineRule="auto" w:line="360"/>
        <w:rPr>
          <w:rFonts w:ascii="Arial" w:hAnsi="Arial"/>
        </w:rPr>
      </w:pPr>
      <w:r>
        <w:rPr>
          <w:rFonts w:ascii="Arial" w:hAnsi="Arial"/>
          <w:b w:val="false"/>
          <w:sz w:val="24"/>
          <w:szCs w:val="24"/>
        </w:rPr>
        <w:t>Przed wykonaniem instalacji jako szczelnej należy przewody i kable uszczelniać w sprzęcie oraz aparatach za pomocą dławików. Średnica głowicy i otworu uszczelniającego pierścienia powinna być dostosowana do średnicy zewnętrznej przewodu lub kabla. Po dokręceniu dławic zaleca się dodatkowe uszczelnienie ich za pomocą odpowiednich uszczelnień.</w:t>
      </w:r>
    </w:p>
    <w:p>
      <w:pPr>
        <w:pStyle w:val="Heading2"/>
        <w:numPr>
          <w:ilvl w:val="1"/>
          <w:numId w:val="1"/>
        </w:numPr>
        <w:rPr>
          <w:rFonts w:ascii="Arial" w:hAnsi="Arial"/>
        </w:rPr>
      </w:pPr>
      <w:bookmarkStart w:id="48" w:name="__RefHeading___Toc904_3592927575"/>
      <w:bookmarkStart w:id="49" w:name="_Toc103861814"/>
      <w:bookmarkStart w:id="50" w:name="_Toc124674391"/>
      <w:bookmarkEnd w:id="48"/>
      <w:r>
        <w:rPr>
          <w:rFonts w:cs="" w:cstheme="majorBidi"/>
          <w:b w:val="false"/>
          <w:sz w:val="24"/>
          <w:szCs w:val="24"/>
        </w:rPr>
        <w:t>Przebicia przez ściany i stropy</w:t>
      </w:r>
      <w:bookmarkEnd w:id="49"/>
      <w:bookmarkEnd w:id="50"/>
    </w:p>
    <w:p>
      <w:pPr>
        <w:pStyle w:val="BodyText"/>
        <w:spacing w:lineRule="auto" w:line="360"/>
        <w:ind w:firstLine="576"/>
        <w:rPr>
          <w:rFonts w:ascii="Arial" w:hAnsi="Arial"/>
        </w:rPr>
      </w:pPr>
      <w:r>
        <w:rPr>
          <w:rFonts w:ascii="Arial" w:hAnsi="Arial"/>
          <w:b w:val="false"/>
          <w:sz w:val="24"/>
          <w:szCs w:val="24"/>
        </w:rPr>
        <w:t>Wszystkie przejścia obwodów instalacji teletechnicznych przez ściany, stropy itp. (wewnątrz budynku) muszą być chronione przed uszkodzeniami, przejścia wymienione wyżej należy wykonać w przepustach rurowych, zgodnie z zaleceniami producenta.</w:t>
      </w:r>
    </w:p>
    <w:p>
      <w:pPr>
        <w:pStyle w:val="Heading2"/>
        <w:numPr>
          <w:ilvl w:val="1"/>
          <w:numId w:val="1"/>
        </w:numPr>
        <w:rPr>
          <w:rFonts w:ascii="Arial" w:hAnsi="Arial"/>
        </w:rPr>
      </w:pPr>
      <w:bookmarkStart w:id="51" w:name="__RefHeading___Toc906_3592927575"/>
      <w:bookmarkStart w:id="52" w:name="_Toc103861815"/>
      <w:bookmarkStart w:id="53" w:name="_Toc124674392"/>
      <w:bookmarkEnd w:id="51"/>
      <w:r>
        <w:rPr>
          <w:rFonts w:cs="" w:cstheme="majorBidi"/>
          <w:b w:val="false"/>
          <w:sz w:val="24"/>
          <w:szCs w:val="24"/>
        </w:rPr>
        <w:t>Łączenie przewodów</w:t>
      </w:r>
      <w:bookmarkEnd w:id="52"/>
      <w:bookmarkEnd w:id="53"/>
    </w:p>
    <w:p>
      <w:pPr>
        <w:pStyle w:val="BodyText"/>
        <w:spacing w:lineRule="auto" w:line="360"/>
        <w:ind w:firstLine="576"/>
        <w:rPr>
          <w:rFonts w:ascii="Arial" w:hAnsi="Arial"/>
        </w:rPr>
      </w:pPr>
      <w:r>
        <w:rPr>
          <w:rFonts w:ascii="Arial" w:hAnsi="Arial"/>
          <w:b w:val="false"/>
          <w:sz w:val="24"/>
          <w:szCs w:val="24"/>
        </w:rPr>
        <w:t>W instalacjach elektrycznych wnętrzowych, łączenia przewodów należy dokonywać w sprzęcie i osprzęcie instalacyjnym i w odbiornikach. Nie wolno stosować połączeń skręcanych. Przewody muszą być ułożone swobodnie i nie mogą być narażone na naciągi i dodatkowe naprężenia. Do danego zacisku należy przyłączyć przewody o rodzaju wykonania, przekroju i liczbie dla jakich zacisk ten jest przygotowany. W przypadku zastosowania zacisków, do których przewody są przyłączone za pomocą oczek, pomiędzy oczkiem a nakrętką oraz pomiędzy oczkami powinny znajdować się podkładki metalowe zabezpieczone przed korozją w sposób umożliwiający przepływ prądu. Długość odizolowanej żyły przewodu powinna zapewniać prawidłowe przyłączenie. Zdejmowanie izolacji i oczyszczenie przewodu nie może powodować uszkodzeń mechanicznych. W przypadku stosowania żył ocynowanych proces czyszczenia nie powinien uszkadzać warstwy cyny. Końce przewodów miedzianych z żyłami wielodrutowymi (linek) powinny być zabezpieczone zaprasowanymi tulejkami lub ocynowane (zaleca się zastosowanie tulejek zamiast cynowania).</w:t>
      </w:r>
    </w:p>
    <w:p>
      <w:pPr>
        <w:pStyle w:val="Heading2"/>
        <w:numPr>
          <w:ilvl w:val="1"/>
          <w:numId w:val="1"/>
        </w:numPr>
        <w:rPr>
          <w:rFonts w:ascii="Arial" w:hAnsi="Arial"/>
        </w:rPr>
      </w:pPr>
      <w:bookmarkStart w:id="54" w:name="__RefHeading___Toc908_3592927575"/>
      <w:bookmarkStart w:id="55" w:name="_Toc103861816"/>
      <w:bookmarkStart w:id="56" w:name="_Toc124674393"/>
      <w:bookmarkEnd w:id="54"/>
      <w:r>
        <w:rPr>
          <w:rFonts w:cs="" w:cstheme="majorBidi"/>
          <w:b w:val="false"/>
          <w:sz w:val="24"/>
          <w:szCs w:val="24"/>
        </w:rPr>
        <w:t>Montaż tablic rozdzielczych</w:t>
      </w:r>
      <w:bookmarkEnd w:id="55"/>
      <w:bookmarkEnd w:id="56"/>
    </w:p>
    <w:p>
      <w:pPr>
        <w:pStyle w:val="BodyText"/>
        <w:spacing w:lineRule="auto" w:line="360"/>
        <w:ind w:firstLine="360"/>
        <w:rPr>
          <w:rFonts w:ascii="Arial" w:hAnsi="Arial"/>
        </w:rPr>
      </w:pPr>
      <w:r>
        <w:rPr>
          <w:rFonts w:ascii="Arial" w:hAnsi="Arial"/>
          <w:b w:val="false"/>
          <w:sz w:val="24"/>
          <w:szCs w:val="24"/>
        </w:rPr>
        <w:t>Tablice w obudowie naściennej lub zagłębionej należy przykręcać do kotew lub konstrukcji wsporczych zamocowanych w podłożu. Po zamontowaniu urządzenia należy:</w:t>
      </w:r>
    </w:p>
    <w:p>
      <w:pPr>
        <w:pStyle w:val="BodyText"/>
        <w:numPr>
          <w:ilvl w:val="0"/>
          <w:numId w:val="15"/>
        </w:numPr>
        <w:spacing w:lineRule="auto" w:line="360"/>
        <w:rPr>
          <w:rFonts w:ascii="Arial" w:hAnsi="Arial"/>
        </w:rPr>
      </w:pPr>
      <w:r>
        <w:rPr>
          <w:rFonts w:ascii="Arial" w:hAnsi="Arial"/>
          <w:b w:val="false"/>
          <w:sz w:val="24"/>
          <w:szCs w:val="24"/>
        </w:rPr>
        <w:t>zainstalować aparaty zdjęte na czas transportu i dostarczone w oddzielnych opakowaniach,</w:t>
      </w:r>
    </w:p>
    <w:p>
      <w:pPr>
        <w:pStyle w:val="BodyText"/>
        <w:numPr>
          <w:ilvl w:val="0"/>
          <w:numId w:val="15"/>
        </w:numPr>
        <w:spacing w:lineRule="auto" w:line="360"/>
        <w:rPr>
          <w:rFonts w:ascii="Arial" w:hAnsi="Arial"/>
        </w:rPr>
      </w:pPr>
      <w:r>
        <w:rPr>
          <w:rFonts w:ascii="Arial" w:hAnsi="Arial"/>
          <w:b w:val="false"/>
          <w:sz w:val="24"/>
          <w:szCs w:val="24"/>
        </w:rPr>
        <w:t>dokręcić w sposób pewny wszystkie  śruby i wkręty w połączeniach elektrycznych i mechanicznych,</w:t>
      </w:r>
    </w:p>
    <w:p>
      <w:pPr>
        <w:pStyle w:val="BodyText"/>
        <w:numPr>
          <w:ilvl w:val="0"/>
          <w:numId w:val="15"/>
        </w:numPr>
        <w:spacing w:lineRule="auto" w:line="360"/>
        <w:rPr>
          <w:rFonts w:ascii="Arial" w:hAnsi="Arial"/>
        </w:rPr>
      </w:pPr>
      <w:r>
        <w:rPr>
          <w:rFonts w:ascii="Arial" w:hAnsi="Arial"/>
          <w:b w:val="false"/>
          <w:sz w:val="24"/>
          <w:szCs w:val="24"/>
        </w:rPr>
        <w:t>założyć osłony zdjęte w czasie montażu,</w:t>
      </w:r>
    </w:p>
    <w:p>
      <w:pPr>
        <w:pStyle w:val="BodyText"/>
        <w:numPr>
          <w:ilvl w:val="0"/>
          <w:numId w:val="15"/>
        </w:numPr>
        <w:spacing w:lineRule="auto" w:line="360"/>
        <w:rPr>
          <w:rFonts w:ascii="Arial" w:hAnsi="Arial"/>
        </w:rPr>
      </w:pPr>
      <w:r>
        <w:rPr>
          <w:rFonts w:ascii="Arial" w:hAnsi="Arial"/>
          <w:b w:val="false"/>
          <w:sz w:val="24"/>
          <w:szCs w:val="24"/>
        </w:rPr>
        <w:t>podłączyć obwody zewnętrzne,</w:t>
      </w:r>
    </w:p>
    <w:p>
      <w:pPr>
        <w:pStyle w:val="BodyText"/>
        <w:numPr>
          <w:ilvl w:val="0"/>
          <w:numId w:val="15"/>
        </w:numPr>
        <w:spacing w:lineRule="auto" w:line="360"/>
        <w:rPr>
          <w:rFonts w:ascii="Arial" w:hAnsi="Arial"/>
        </w:rPr>
      </w:pPr>
      <w:r>
        <w:rPr>
          <w:rFonts w:ascii="Arial" w:hAnsi="Arial"/>
          <w:b w:val="false"/>
          <w:sz w:val="24"/>
          <w:szCs w:val="24"/>
        </w:rPr>
        <w:t>podłączyć przewody ochronne.</w:t>
      </w:r>
    </w:p>
    <w:p>
      <w:pPr>
        <w:pStyle w:val="Heading2"/>
        <w:numPr>
          <w:ilvl w:val="1"/>
          <w:numId w:val="1"/>
        </w:numPr>
        <w:rPr>
          <w:rFonts w:ascii="Arial" w:hAnsi="Arial"/>
        </w:rPr>
      </w:pPr>
      <w:bookmarkStart w:id="57" w:name="__RefHeading___Toc910_3592927575"/>
      <w:bookmarkStart w:id="58" w:name="_Toc103861817"/>
      <w:bookmarkStart w:id="59" w:name="_Toc124674394"/>
      <w:bookmarkEnd w:id="57"/>
      <w:r>
        <w:rPr>
          <w:rFonts w:cs="" w:cstheme="majorBidi"/>
          <w:b w:val="false"/>
          <w:sz w:val="24"/>
          <w:szCs w:val="24"/>
        </w:rPr>
        <w:t>Prace wykończeniowe</w:t>
      </w:r>
      <w:bookmarkEnd w:id="58"/>
      <w:bookmarkEnd w:id="59"/>
    </w:p>
    <w:p>
      <w:pPr>
        <w:pStyle w:val="BodyText"/>
        <w:spacing w:lineRule="auto" w:line="360"/>
        <w:ind w:firstLine="576"/>
        <w:rPr>
          <w:rFonts w:ascii="Arial" w:hAnsi="Arial"/>
        </w:rPr>
      </w:pPr>
      <w:r>
        <w:rPr>
          <w:rFonts w:ascii="Arial" w:hAnsi="Arial"/>
          <w:b w:val="false"/>
          <w:sz w:val="24"/>
          <w:szCs w:val="24"/>
        </w:rPr>
        <w:t>Należy zamknąć wszelkie otwory rewizyjne wykorzystywane podczas instalacji kabli. Jeśli wykorzystuje się trasę kablową przechodzącą przez granicę strefy pożarowej, światło jej otworu należy zamknąć odpowiednią masą uszczelniającą, charakteryzującą się właściwościami nie gorszymi niż granica strefy, zgodnie z przepisami p. poż. i przymocować w miejscu jej instalacji przywieszkę z pełną informacją o tak zbudowanej granicy strefy.</w:t>
      </w:r>
    </w:p>
    <w:p>
      <w:pPr>
        <w:pStyle w:val="Heading2"/>
        <w:numPr>
          <w:ilvl w:val="1"/>
          <w:numId w:val="1"/>
        </w:numPr>
        <w:rPr>
          <w:rFonts w:ascii="Arial" w:hAnsi="Arial"/>
        </w:rPr>
      </w:pPr>
      <w:bookmarkStart w:id="60" w:name="__RefHeading___Toc912_3592927575"/>
      <w:bookmarkStart w:id="61" w:name="_Toc103861818"/>
      <w:bookmarkStart w:id="62" w:name="_Toc124674395"/>
      <w:bookmarkEnd w:id="60"/>
      <w:r>
        <w:rPr>
          <w:rFonts w:cs="" w:cstheme="majorBidi"/>
          <w:b w:val="false"/>
          <w:sz w:val="24"/>
          <w:szCs w:val="24"/>
        </w:rPr>
        <w:t>Próby montażowe</w:t>
      </w:r>
      <w:bookmarkEnd w:id="61"/>
      <w:bookmarkEnd w:id="62"/>
    </w:p>
    <w:p>
      <w:pPr>
        <w:pStyle w:val="BodyText"/>
        <w:spacing w:lineRule="auto" w:line="360"/>
        <w:ind w:firstLine="576"/>
        <w:rPr>
          <w:rFonts w:ascii="Arial" w:hAnsi="Arial"/>
        </w:rPr>
      </w:pPr>
      <w:r>
        <w:rPr>
          <w:rFonts w:ascii="Arial" w:hAnsi="Arial"/>
          <w:b w:val="false"/>
          <w:sz w:val="24"/>
          <w:szCs w:val="24"/>
        </w:rPr>
        <w:t>Po zakończeniu robót należy przeprowadzić próby montażowe obejmujące badania i pomiary. Zakres prób montażowych należy uzgodnić z inwestorem. Z prób montażowych należy sporządzić protokół.</w:t>
      </w:r>
    </w:p>
    <w:p>
      <w:pPr>
        <w:pStyle w:val="Heading2"/>
        <w:numPr>
          <w:ilvl w:val="1"/>
          <w:numId w:val="1"/>
        </w:numPr>
        <w:rPr>
          <w:rFonts w:ascii="Arial" w:hAnsi="Arial"/>
        </w:rPr>
      </w:pPr>
      <w:bookmarkStart w:id="63" w:name="__RefHeading___Toc914_3592927575"/>
      <w:bookmarkStart w:id="64" w:name="_Toc103861819"/>
      <w:bookmarkStart w:id="65" w:name="_Toc124674396"/>
      <w:bookmarkEnd w:id="63"/>
      <w:r>
        <w:rPr>
          <w:rFonts w:cs="" w:cstheme="majorBidi"/>
          <w:b w:val="false"/>
          <w:sz w:val="24"/>
          <w:szCs w:val="24"/>
        </w:rPr>
        <w:t>Instalacje ochronne</w:t>
      </w:r>
      <w:bookmarkEnd w:id="64"/>
      <w:bookmarkEnd w:id="65"/>
    </w:p>
    <w:p>
      <w:pPr>
        <w:pStyle w:val="BodyText"/>
        <w:spacing w:lineRule="auto" w:line="360"/>
        <w:ind w:firstLine="576"/>
        <w:rPr>
          <w:rFonts w:ascii="Arial" w:hAnsi="Arial"/>
        </w:rPr>
      </w:pPr>
      <w:r>
        <w:rPr>
          <w:rFonts w:ascii="Arial" w:hAnsi="Arial"/>
          <w:b w:val="false"/>
          <w:sz w:val="24"/>
          <w:szCs w:val="24"/>
        </w:rPr>
        <w:t>Instalacje elektryczne muszą zapewnić ochronę przeciwporażeniową podstawową i dodatkową zgodnie z wymaganiami pakietu norm PN-HD 60364-4-41 i PN-HD 60364-5-56. Ochrona przeciwporażeniowa realizowana jest przez odpowiednie rozwiązania techniczne zwane środkami ochrony w odniesieniu do całej instalacji, jej części lub tylko jednego urządzenia. Zastosowane środki ochrony powinny zapewnić wymagany poziom bezpieczeństwa - skuteczność ochrony i jeżeli zastosowanie jednego ze środków nie gwarantuje tego, to należy zastosować zespół środków, które wraz z uprzednio zastosowanym zapewnią niezbędny poziom bezpieczeństwa.</w:t>
      </w:r>
    </w:p>
    <w:p>
      <w:pPr>
        <w:pStyle w:val="BodyText"/>
        <w:spacing w:lineRule="auto" w:line="360"/>
        <w:rPr>
          <w:rFonts w:ascii="Arial" w:hAnsi="Arial"/>
        </w:rPr>
      </w:pPr>
      <w:r>
        <w:rPr>
          <w:rFonts w:ascii="Arial" w:hAnsi="Arial"/>
          <w:b w:val="false"/>
          <w:sz w:val="24"/>
          <w:szCs w:val="24"/>
        </w:rPr>
        <w:t>Ochronę podstawową przed dotykiem bezpośrednim spełnić przez stosowanie urządzeń izolowanych posiadających atest i odpowiedni stopień ochrony.</w:t>
      </w:r>
    </w:p>
    <w:p>
      <w:pPr>
        <w:pStyle w:val="Heading2"/>
        <w:numPr>
          <w:ilvl w:val="1"/>
          <w:numId w:val="1"/>
        </w:numPr>
        <w:rPr>
          <w:rFonts w:ascii="Arial" w:hAnsi="Arial"/>
        </w:rPr>
      </w:pPr>
      <w:bookmarkStart w:id="66" w:name="__RefHeading___Toc916_3592927575"/>
      <w:bookmarkStart w:id="67" w:name="_Toc103861820"/>
      <w:bookmarkStart w:id="68" w:name="_Toc124674397"/>
      <w:bookmarkEnd w:id="66"/>
      <w:r>
        <w:rPr>
          <w:rFonts w:cs="" w:cstheme="majorBidi"/>
          <w:b w:val="false"/>
          <w:sz w:val="24"/>
          <w:szCs w:val="24"/>
        </w:rPr>
        <w:t>Ochrona przez zastosowanie izolacji podstawowej</w:t>
      </w:r>
      <w:bookmarkEnd w:id="67"/>
      <w:bookmarkEnd w:id="68"/>
    </w:p>
    <w:p>
      <w:pPr>
        <w:pStyle w:val="BodyText"/>
        <w:spacing w:lineRule="auto" w:line="360"/>
        <w:ind w:firstLine="576"/>
        <w:rPr>
          <w:rFonts w:ascii="Arial" w:hAnsi="Arial"/>
        </w:rPr>
      </w:pPr>
      <w:r>
        <w:rPr>
          <w:rFonts w:ascii="Arial" w:hAnsi="Arial"/>
          <w:b w:val="false"/>
          <w:sz w:val="24"/>
          <w:szCs w:val="24"/>
        </w:rPr>
        <w:t>Izolacja podstawowa powinna całkowicie i trwale pokrywać części czynne a jej usunięcie powinno być możliwe tylko poprzez zniszczenie. Izolacja podstawowa powinna być wykonana z materiału gwarantującego wytrzymałość mechaniczną, cieplną, elektryczną i odporność na wpływy chemiczne podczas jej eksploatacji; powinna być ona również poddawana systematycznym - okresowym badaniom.</w:t>
      </w:r>
    </w:p>
    <w:p>
      <w:pPr>
        <w:pStyle w:val="BodyText"/>
        <w:spacing w:lineRule="auto" w:line="360"/>
        <w:rPr>
          <w:rFonts w:ascii="Arial" w:hAnsi="Arial"/>
        </w:rPr>
      </w:pPr>
      <w:r>
        <w:rPr>
          <w:rFonts w:ascii="Arial" w:hAnsi="Arial"/>
          <w:b w:val="false"/>
          <w:sz w:val="24"/>
          <w:szCs w:val="24"/>
        </w:rPr>
        <w:t>Każda izolacja podstawowa zastosowana zarówno w urządzeniach fabrycznych jak i wykonana w trakcie montażu instalacji powinna być poddana odpowiednim (tzn. zgodnym z normami) próbom i badaniom:</w:t>
      </w:r>
    </w:p>
    <w:p>
      <w:pPr>
        <w:pStyle w:val="BodyText"/>
        <w:numPr>
          <w:ilvl w:val="0"/>
          <w:numId w:val="16"/>
        </w:numPr>
        <w:spacing w:lineRule="auto" w:line="360"/>
        <w:rPr>
          <w:rFonts w:ascii="Arial" w:hAnsi="Arial"/>
        </w:rPr>
      </w:pPr>
      <w:r>
        <w:rPr>
          <w:rFonts w:ascii="Arial" w:hAnsi="Arial"/>
          <w:b w:val="false"/>
          <w:sz w:val="24"/>
          <w:szCs w:val="24"/>
        </w:rPr>
        <w:t>Próbie wytrzymałości elektrycznej - określającej zdolność wytrzymywania (bez przebicia) pewnej wartości skutecznej napięcia probierczego w określonym czasie, np. wciągu 1 min,</w:t>
      </w:r>
    </w:p>
    <w:p>
      <w:pPr>
        <w:pStyle w:val="BodyText"/>
        <w:numPr>
          <w:ilvl w:val="0"/>
          <w:numId w:val="16"/>
        </w:numPr>
        <w:spacing w:lineRule="auto" w:line="360"/>
        <w:rPr>
          <w:rFonts w:ascii="Arial" w:hAnsi="Arial"/>
        </w:rPr>
      </w:pPr>
      <w:r>
        <w:rPr>
          <w:rFonts w:ascii="Arial" w:hAnsi="Arial"/>
          <w:b w:val="false"/>
          <w:sz w:val="24"/>
          <w:szCs w:val="24"/>
        </w:rPr>
        <w:t>Badaniu, czyli pomiarze rezystancji izolacji wykonanej przy użyciu źródła napięcia probierczego prądu stałego przy obciążeniu prądem 1 mA.</w:t>
      </w:r>
    </w:p>
    <w:p>
      <w:pPr>
        <w:pStyle w:val="Heading1"/>
        <w:numPr>
          <w:ilvl w:val="0"/>
          <w:numId w:val="1"/>
        </w:numPr>
        <w:rPr>
          <w:rFonts w:ascii="Arial" w:hAnsi="Arial"/>
        </w:rPr>
      </w:pPr>
      <w:bookmarkStart w:id="69" w:name="__RefHeading___Toc918_3592927575"/>
      <w:bookmarkStart w:id="70" w:name="_Toc124674398"/>
      <w:bookmarkEnd w:id="69"/>
      <w:r>
        <w:rPr>
          <w:rFonts w:cs="" w:cstheme="majorBidi"/>
          <w:bCs/>
          <w:kern w:val="0"/>
          <w:szCs w:val="28"/>
        </w:rPr>
        <w:t>Kontrola jakości robót</w:t>
      </w:r>
      <w:bookmarkEnd w:id="70"/>
    </w:p>
    <w:p>
      <w:pPr>
        <w:pStyle w:val="Normal"/>
        <w:spacing w:lineRule="auto" w:line="360"/>
        <w:jc w:val="both"/>
        <w:rPr>
          <w:rFonts w:ascii="Arial" w:hAnsi="Arial" w:cs="" w:cstheme="majorBidi"/>
          <w:sz w:val="24"/>
          <w:szCs w:val="24"/>
        </w:rPr>
      </w:pPr>
      <w:r>
        <w:rPr>
          <w:rFonts w:cs="" w:cstheme="majorBidi" w:ascii="Arial" w:hAnsi="Arial"/>
          <w:sz w:val="24"/>
          <w:szCs w:val="24"/>
        </w:rPr>
      </w:r>
    </w:p>
    <w:p>
      <w:pPr>
        <w:pStyle w:val="Normal"/>
        <w:spacing w:lineRule="auto" w:line="360"/>
        <w:ind w:firstLine="432"/>
        <w:jc w:val="both"/>
        <w:rPr>
          <w:rFonts w:ascii="Arial" w:hAnsi="Arial"/>
        </w:rPr>
      </w:pPr>
      <w:r>
        <w:rPr>
          <w:rFonts w:cs="" w:ascii="Arial" w:hAnsi="Arial" w:cstheme="majorBidi"/>
          <w:sz w:val="24"/>
          <w:szCs w:val="24"/>
        </w:rPr>
        <w:t>Szczegółowy wykaz oraz zakres pomontażowych badań kabli i przewodów zawarty jest w PN-IEC 60364-6-61:2000 i PN-E-04700:1998/Az1:2000.</w:t>
      </w:r>
    </w:p>
    <w:p>
      <w:pPr>
        <w:pStyle w:val="Heading2"/>
        <w:numPr>
          <w:ilvl w:val="1"/>
          <w:numId w:val="1"/>
        </w:numPr>
        <w:rPr>
          <w:rFonts w:ascii="Arial" w:hAnsi="Arial"/>
        </w:rPr>
      </w:pPr>
      <w:bookmarkStart w:id="71" w:name="__RefHeading___Toc920_3592927575"/>
      <w:bookmarkStart w:id="72" w:name="_Toc124674399"/>
      <w:bookmarkEnd w:id="71"/>
      <w:r>
        <w:rPr>
          <w:rFonts w:cs="" w:cstheme="majorBidi"/>
          <w:b w:val="false"/>
          <w:sz w:val="24"/>
          <w:szCs w:val="24"/>
        </w:rPr>
        <w:t>Kontrola jakości materiałów</w:t>
      </w:r>
      <w:bookmarkEnd w:id="72"/>
    </w:p>
    <w:p>
      <w:pPr>
        <w:pStyle w:val="Normal"/>
        <w:spacing w:lineRule="auto" w:line="360"/>
        <w:ind w:firstLine="576"/>
        <w:rPr>
          <w:rFonts w:ascii="Arial" w:hAnsi="Arial"/>
        </w:rPr>
      </w:pPr>
      <w:r>
        <w:rPr>
          <w:rFonts w:cs="" w:ascii="Arial" w:hAnsi="Arial" w:cstheme="majorBidi"/>
          <w:sz w:val="24"/>
          <w:szCs w:val="24"/>
        </w:rPr>
        <w:t>Urządzenia elektryczne oraz kable elektroenergetyczne powinny posiadać atest fabryczny lub świadectwo jakości wydane przez producenta, oraz wszystkie niezbędne certyfikaty, gwarancje i DTR.</w:t>
      </w:r>
    </w:p>
    <w:p>
      <w:pPr>
        <w:pStyle w:val="Heading2"/>
        <w:numPr>
          <w:ilvl w:val="1"/>
          <w:numId w:val="1"/>
        </w:numPr>
        <w:rPr>
          <w:rFonts w:ascii="Arial" w:hAnsi="Arial"/>
        </w:rPr>
      </w:pPr>
      <w:bookmarkStart w:id="73" w:name="__RefHeading___Toc922_3592927575"/>
      <w:bookmarkStart w:id="74" w:name="_Toc124674400"/>
      <w:bookmarkEnd w:id="73"/>
      <w:r>
        <w:rPr>
          <w:rFonts w:cs="" w:cstheme="majorBidi"/>
          <w:b w:val="false"/>
          <w:sz w:val="24"/>
          <w:szCs w:val="24"/>
        </w:rPr>
        <w:t>Kontrola i badania w trakcie robót</w:t>
      </w:r>
      <w:bookmarkEnd w:id="74"/>
    </w:p>
    <w:p>
      <w:pPr>
        <w:pStyle w:val="ListParagraph"/>
        <w:numPr>
          <w:ilvl w:val="0"/>
          <w:numId w:val="7"/>
        </w:numPr>
        <w:spacing w:lineRule="auto" w:line="360"/>
        <w:jc w:val="both"/>
        <w:rPr>
          <w:rFonts w:ascii="Arial" w:hAnsi="Arial"/>
        </w:rPr>
      </w:pPr>
      <w:r>
        <w:rPr>
          <w:rFonts w:cs="" w:ascii="Arial" w:hAnsi="Arial" w:cstheme="majorBidi"/>
          <w:sz w:val="24"/>
          <w:szCs w:val="24"/>
        </w:rPr>
        <w:t>sprawdzenie i badania kabli po ułożeniu,</w:t>
      </w:r>
    </w:p>
    <w:p>
      <w:pPr>
        <w:pStyle w:val="Heading2"/>
        <w:numPr>
          <w:ilvl w:val="1"/>
          <w:numId w:val="1"/>
        </w:numPr>
        <w:rPr>
          <w:rFonts w:ascii="Arial" w:hAnsi="Arial"/>
        </w:rPr>
      </w:pPr>
      <w:bookmarkStart w:id="75" w:name="__RefHeading___Toc924_3592927575"/>
      <w:bookmarkStart w:id="76" w:name="_Toc124674401"/>
      <w:bookmarkEnd w:id="75"/>
      <w:r>
        <w:rPr>
          <w:rFonts w:cs="" w:cstheme="majorBidi"/>
          <w:b w:val="false"/>
          <w:sz w:val="24"/>
          <w:szCs w:val="24"/>
        </w:rPr>
        <w:t>Kontrola szczegółowa</w:t>
      </w:r>
      <w:bookmarkEnd w:id="76"/>
    </w:p>
    <w:p>
      <w:pPr>
        <w:pStyle w:val="Normal"/>
        <w:spacing w:lineRule="auto" w:line="360"/>
        <w:ind w:firstLine="567"/>
        <w:rPr>
          <w:rFonts w:ascii="Arial" w:hAnsi="Arial"/>
        </w:rPr>
      </w:pPr>
      <w:r>
        <w:rPr>
          <w:rFonts w:cs="" w:ascii="Arial" w:hAnsi="Arial" w:cstheme="majorBidi"/>
          <w:sz w:val="24"/>
          <w:szCs w:val="24"/>
        </w:rPr>
        <w:t>Ponadto należy wykonać sprawdzenia odbiorcze składające się z oględzin częściowych i końcowych polegających na kontroli:</w:t>
      </w:r>
    </w:p>
    <w:p>
      <w:pPr>
        <w:pStyle w:val="ListParagraph"/>
        <w:numPr>
          <w:ilvl w:val="0"/>
          <w:numId w:val="8"/>
        </w:numPr>
        <w:spacing w:lineRule="auto" w:line="360"/>
        <w:rPr>
          <w:rFonts w:ascii="Arial" w:hAnsi="Arial"/>
        </w:rPr>
      </w:pPr>
      <w:r>
        <w:rPr>
          <w:rFonts w:cs="" w:ascii="Arial" w:hAnsi="Arial" w:cstheme="majorBidi"/>
          <w:sz w:val="24"/>
          <w:szCs w:val="24"/>
        </w:rPr>
        <w:t>zgodności dokumentacji powykonawczej z projektem i ze stanem faktycznym,</w:t>
      </w:r>
    </w:p>
    <w:p>
      <w:pPr>
        <w:pStyle w:val="ListParagraph"/>
        <w:numPr>
          <w:ilvl w:val="0"/>
          <w:numId w:val="8"/>
        </w:numPr>
        <w:spacing w:lineRule="auto" w:line="360"/>
        <w:rPr>
          <w:rFonts w:ascii="Arial" w:hAnsi="Arial"/>
        </w:rPr>
      </w:pPr>
      <w:r>
        <w:rPr>
          <w:rFonts w:cs="" w:ascii="Arial" w:hAnsi="Arial" w:cstheme="majorBidi"/>
          <w:sz w:val="24"/>
          <w:szCs w:val="24"/>
        </w:rPr>
        <w:t>jakości i zgodności wykonania robót z ustaloną w dokumentacji powykonawczej, normami, przepisami budowy oraz bhp,</w:t>
      </w:r>
    </w:p>
    <w:p>
      <w:pPr>
        <w:pStyle w:val="ListParagraph"/>
        <w:numPr>
          <w:ilvl w:val="0"/>
          <w:numId w:val="8"/>
        </w:numPr>
        <w:spacing w:lineRule="auto" w:line="360"/>
        <w:rPr>
          <w:rFonts w:ascii="Arial" w:hAnsi="Arial"/>
        </w:rPr>
      </w:pPr>
      <w:r>
        <w:rPr>
          <w:rFonts w:cs="" w:ascii="Arial" w:hAnsi="Arial" w:cstheme="majorBidi"/>
          <w:sz w:val="24"/>
          <w:szCs w:val="24"/>
        </w:rPr>
        <w:t>poprawności wykonania i zabezpieczenia połączeń śrubowych instalacji elektrycznej potwierdzonych protokołem przez wykonawcę montażu,</w:t>
      </w:r>
    </w:p>
    <w:p>
      <w:pPr>
        <w:pStyle w:val="ListParagraph"/>
        <w:numPr>
          <w:ilvl w:val="0"/>
          <w:numId w:val="8"/>
        </w:numPr>
        <w:spacing w:lineRule="auto" w:line="360"/>
        <w:rPr>
          <w:rFonts w:ascii="Arial" w:hAnsi="Arial"/>
        </w:rPr>
      </w:pPr>
      <w:r>
        <w:rPr>
          <w:rFonts w:cs="" w:ascii="Arial" w:hAnsi="Arial" w:cstheme="majorBidi"/>
          <w:sz w:val="24"/>
          <w:szCs w:val="24"/>
        </w:rPr>
        <w:t>pomiarach rezystancji uziemień, rezystancji izolacji przewodów, natężenia oświetlenia, badanie wyłączników różnicowo-prądowych i wszelkich innych pomiarów wynikających z dokumentacji technicznej, norm, przepisów budowy i eksploatacji lub uzgodnień z Inwestorem.</w:t>
      </w:r>
    </w:p>
    <w:p>
      <w:pPr>
        <w:pStyle w:val="Normal"/>
        <w:spacing w:lineRule="auto" w:line="360"/>
        <w:rPr>
          <w:rFonts w:ascii="Arial" w:hAnsi="Arial"/>
        </w:rPr>
      </w:pPr>
      <w:r>
        <w:rPr>
          <w:rFonts w:cs="" w:ascii="Arial" w:hAnsi="Arial" w:cstheme="majorBidi"/>
          <w:sz w:val="24"/>
          <w:szCs w:val="24"/>
        </w:rPr>
        <w:t>Po wykonaniu oględzin należy sporządzić protokoły z przeprowadzonych badań zgodnie z wymogami zawartymi w normie PN-IEC 60364-6-61:2000 lub równoważnej.</w:t>
      </w:r>
    </w:p>
    <w:p>
      <w:pPr>
        <w:pStyle w:val="Heading2"/>
        <w:numPr>
          <w:ilvl w:val="1"/>
          <w:numId w:val="1"/>
        </w:numPr>
        <w:rPr>
          <w:rFonts w:ascii="Arial" w:hAnsi="Arial"/>
        </w:rPr>
      </w:pPr>
      <w:bookmarkStart w:id="77" w:name="__RefHeading___Toc926_3592927575"/>
      <w:bookmarkStart w:id="78" w:name="_Toc124674402"/>
      <w:bookmarkEnd w:id="77"/>
      <w:r>
        <w:rPr>
          <w:rFonts w:cs="" w:cstheme="majorBidi"/>
          <w:b w:val="false"/>
          <w:sz w:val="24"/>
          <w:szCs w:val="24"/>
        </w:rPr>
        <w:t>Zasady postępowania z wadliwie wykonanymi robotami i materiałami</w:t>
      </w:r>
      <w:bookmarkEnd w:id="78"/>
    </w:p>
    <w:p>
      <w:pPr>
        <w:pStyle w:val="Normal"/>
        <w:spacing w:lineRule="auto" w:line="360"/>
        <w:ind w:firstLine="576"/>
        <w:rPr>
          <w:rFonts w:ascii="Arial" w:hAnsi="Arial"/>
        </w:rPr>
      </w:pPr>
      <w:r>
        <w:rPr>
          <w:rFonts w:cs="" w:ascii="Arial" w:hAnsi="Arial" w:cstheme="majorBidi"/>
          <w:sz w:val="24"/>
          <w:szCs w:val="24"/>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pPr>
        <w:pStyle w:val="Normal"/>
        <w:spacing w:lineRule="auto" w:line="360"/>
        <w:rPr>
          <w:rFonts w:ascii="Arial" w:hAnsi="Arial"/>
        </w:rPr>
      </w:pPr>
      <w:r>
        <w:rPr>
          <w:rFonts w:cs="" w:ascii="Arial" w:hAnsi="Arial" w:cstheme="majorBidi"/>
          <w:sz w:val="24"/>
          <w:szCs w:val="24"/>
        </w:rPr>
        <w:tab/>
        <w:t>Na pisemne wystąpienie Wykonawcy Inspektor nadzoru może uznać wadę za niemającą zasadniczego wpływu na jakość funkcjonowania instalacji i ustalić zakres i wielkość potrąceń za obniżoną jakość.</w:t>
      </w:r>
    </w:p>
    <w:p>
      <w:pPr>
        <w:pStyle w:val="Heading1"/>
        <w:numPr>
          <w:ilvl w:val="0"/>
          <w:numId w:val="1"/>
        </w:numPr>
        <w:rPr>
          <w:rFonts w:ascii="Arial" w:hAnsi="Arial"/>
        </w:rPr>
      </w:pPr>
      <w:bookmarkStart w:id="79" w:name="__RefHeading___Toc928_3592927575"/>
      <w:bookmarkStart w:id="80" w:name="_Toc124674403"/>
      <w:bookmarkEnd w:id="79"/>
      <w:r>
        <w:rPr>
          <w:rFonts w:cs="" w:cstheme="majorBidi"/>
          <w:bCs/>
          <w:kern w:val="0"/>
          <w:szCs w:val="28"/>
        </w:rPr>
        <w:t>Obmiar robót</w:t>
      </w:r>
      <w:bookmarkEnd w:id="80"/>
    </w:p>
    <w:p>
      <w:pPr>
        <w:pStyle w:val="Normal"/>
        <w:rPr>
          <w:rFonts w:ascii="Arial" w:hAnsi="Arial"/>
        </w:rPr>
      </w:pPr>
      <w:r>
        <w:rPr>
          <w:rFonts w:ascii="Arial" w:hAnsi="Arial"/>
        </w:rPr>
      </w:r>
    </w:p>
    <w:p>
      <w:pPr>
        <w:pStyle w:val="Normal"/>
        <w:spacing w:lineRule="auto" w:line="360"/>
        <w:ind w:firstLine="567"/>
        <w:rPr>
          <w:rFonts w:ascii="Arial" w:hAnsi="Arial"/>
        </w:rPr>
      </w:pPr>
      <w:r>
        <w:rPr>
          <w:rFonts w:cs="" w:ascii="Arial" w:hAnsi="Arial" w:cstheme="majorBidi"/>
          <w:sz w:val="24"/>
          <w:szCs w:val="24"/>
        </w:rPr>
        <w:t>Obmiaru robót dokonuje się z natury (wykonanej roboty) przyjmując jednostki miary odpowiadające zawartym w dokumentacji i tak:</w:t>
      </w:r>
    </w:p>
    <w:p>
      <w:pPr>
        <w:pStyle w:val="ListParagraph"/>
        <w:numPr>
          <w:ilvl w:val="0"/>
          <w:numId w:val="9"/>
        </w:numPr>
        <w:spacing w:lineRule="auto" w:line="360"/>
        <w:rPr>
          <w:rFonts w:ascii="Arial" w:hAnsi="Arial"/>
        </w:rPr>
      </w:pPr>
      <w:r>
        <w:rPr>
          <w:rFonts w:cs="" w:ascii="Arial" w:hAnsi="Arial" w:cstheme="majorBidi"/>
          <w:sz w:val="24"/>
          <w:szCs w:val="24"/>
        </w:rPr>
        <w:t>dla przewodów: km, m lub kpl.,</w:t>
      </w:r>
    </w:p>
    <w:p>
      <w:pPr>
        <w:pStyle w:val="ListParagraph"/>
        <w:numPr>
          <w:ilvl w:val="0"/>
          <w:numId w:val="9"/>
        </w:numPr>
        <w:spacing w:lineRule="auto" w:line="360"/>
        <w:rPr>
          <w:rFonts w:ascii="Arial" w:hAnsi="Arial"/>
        </w:rPr>
      </w:pPr>
      <w:r>
        <w:rPr>
          <w:rFonts w:cs="" w:ascii="Arial" w:hAnsi="Arial" w:cstheme="majorBidi"/>
          <w:sz w:val="24"/>
          <w:szCs w:val="24"/>
        </w:rPr>
        <w:t>dla osprzętu: szt., kpl.,</w:t>
      </w:r>
    </w:p>
    <w:p>
      <w:pPr>
        <w:pStyle w:val="Heading1"/>
        <w:numPr>
          <w:ilvl w:val="0"/>
          <w:numId w:val="1"/>
        </w:numPr>
        <w:rPr>
          <w:rFonts w:ascii="Arial" w:hAnsi="Arial"/>
        </w:rPr>
      </w:pPr>
      <w:bookmarkStart w:id="81" w:name="__RefHeading___Toc930_3592927575"/>
      <w:bookmarkStart w:id="82" w:name="_Toc124674404"/>
      <w:bookmarkEnd w:id="81"/>
      <w:r>
        <w:rPr>
          <w:rFonts w:cs="" w:cstheme="majorBidi"/>
          <w:bCs/>
          <w:kern w:val="0"/>
          <w:szCs w:val="28"/>
        </w:rPr>
        <w:t>Sposób odbioru robót</w:t>
      </w:r>
      <w:bookmarkEnd w:id="82"/>
    </w:p>
    <w:p>
      <w:pPr>
        <w:pStyle w:val="Normal"/>
        <w:spacing w:lineRule="auto" w:line="360"/>
        <w:rPr>
          <w:rFonts w:ascii="Arial" w:hAnsi="Arial"/>
        </w:rPr>
      </w:pPr>
      <w:r>
        <w:rPr>
          <w:rFonts w:ascii="Arial" w:hAnsi="Arial"/>
        </w:rPr>
      </w:r>
    </w:p>
    <w:p>
      <w:pPr>
        <w:pStyle w:val="Normal"/>
        <w:spacing w:lineRule="auto" w:line="360"/>
        <w:jc w:val="both"/>
        <w:rPr>
          <w:rFonts w:ascii="Arial" w:hAnsi="Arial"/>
        </w:rPr>
      </w:pPr>
      <w:r>
        <w:rPr>
          <w:rFonts w:cs="" w:ascii="Arial" w:hAnsi="Arial" w:cstheme="majorBidi"/>
          <w:sz w:val="24"/>
          <w:szCs w:val="24"/>
        </w:rPr>
        <w:t>Po zakończeniu budowy Wykonawca jest zobowiązany dostarczyć Inwestorowi następujące dokumenty:</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Plany i schematy instalacji zmienione na podstawie rysunków roboczych,</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Pisemne uzgodnienia odstępstw od projektu z przedstawicielem inwestora oraz z zespołem projektowym,</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Dziennik budowy i książkę obmiarów,</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Protokoły odbiorów częściowych,</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Instrukcji użytkowania urządzeń, gwarancje, atesty, dowody zakupu i wszelkie dokumenty związane z zastosowanymi urządzeniami i materiałami,</w:t>
      </w:r>
    </w:p>
    <w:p>
      <w:pPr>
        <w:pStyle w:val="Normal"/>
        <w:numPr>
          <w:ilvl w:val="0"/>
          <w:numId w:val="11"/>
        </w:numPr>
        <w:tabs>
          <w:tab w:val="clear" w:pos="708"/>
          <w:tab w:val="left" w:pos="720" w:leader="none"/>
        </w:tabs>
        <w:spacing w:lineRule="auto" w:line="360"/>
        <w:jc w:val="both"/>
        <w:rPr>
          <w:rFonts w:ascii="Arial" w:hAnsi="Arial"/>
        </w:rPr>
      </w:pPr>
      <w:r>
        <w:rPr>
          <w:rFonts w:cs="" w:ascii="Arial" w:hAnsi="Arial" w:cstheme="majorBidi"/>
          <w:sz w:val="24"/>
          <w:szCs w:val="24"/>
        </w:rPr>
        <w:t>Protokoły sprawdzenia, skuteczności i wydajności urządzeń i instalacji.</w:t>
      </w:r>
    </w:p>
    <w:p>
      <w:pPr>
        <w:pStyle w:val="Normal"/>
        <w:spacing w:lineRule="auto" w:line="360"/>
        <w:jc w:val="both"/>
        <w:rPr>
          <w:rFonts w:ascii="Arial" w:hAnsi="Arial"/>
        </w:rPr>
      </w:pPr>
      <w:r>
        <w:rPr>
          <w:rFonts w:cs="" w:ascii="Arial" w:hAnsi="Arial" w:cstheme="majorBidi"/>
          <w:sz w:val="24"/>
          <w:szCs w:val="24"/>
        </w:rPr>
        <w:t>Wyżej wymienione wymagania dotyczące dokumentów mogą ulec zmianom i poszerzeniom.</w:t>
      </w:r>
    </w:p>
    <w:p>
      <w:pPr>
        <w:pStyle w:val="Normal"/>
        <w:spacing w:lineRule="auto" w:line="360"/>
        <w:jc w:val="both"/>
        <w:rPr>
          <w:rFonts w:ascii="Arial" w:hAnsi="Arial"/>
        </w:rPr>
      </w:pPr>
      <w:r>
        <w:rPr>
          <w:rFonts w:cs="" w:ascii="Arial" w:hAnsi="Arial" w:cstheme="majorBidi"/>
          <w:sz w:val="24"/>
          <w:szCs w:val="24"/>
        </w:rPr>
        <w:t>Odbioru końcowego dokonuje komisja odbiorcza powołana przez Inwestora. Obowiązkowo w skład komisji wchodzą:</w:t>
      </w:r>
    </w:p>
    <w:p>
      <w:pPr>
        <w:pStyle w:val="Normal"/>
        <w:numPr>
          <w:ilvl w:val="0"/>
          <w:numId w:val="12"/>
        </w:numPr>
        <w:tabs>
          <w:tab w:val="clear" w:pos="708"/>
          <w:tab w:val="left" w:pos="720" w:leader="none"/>
        </w:tabs>
        <w:spacing w:lineRule="auto" w:line="360"/>
        <w:jc w:val="both"/>
        <w:rPr>
          <w:rFonts w:ascii="Arial" w:hAnsi="Arial"/>
        </w:rPr>
      </w:pPr>
      <w:r>
        <w:rPr>
          <w:rFonts w:cs="" w:ascii="Arial" w:hAnsi="Arial" w:cstheme="majorBidi"/>
          <w:sz w:val="24"/>
          <w:szCs w:val="24"/>
        </w:rPr>
        <w:t>Przedstawiciele inwestora, w tym inspektor nadzoru,</w:t>
      </w:r>
    </w:p>
    <w:p>
      <w:pPr>
        <w:pStyle w:val="Normal"/>
        <w:numPr>
          <w:ilvl w:val="0"/>
          <w:numId w:val="12"/>
        </w:numPr>
        <w:tabs>
          <w:tab w:val="clear" w:pos="708"/>
          <w:tab w:val="left" w:pos="720" w:leader="none"/>
        </w:tabs>
        <w:spacing w:lineRule="auto" w:line="360"/>
        <w:jc w:val="both"/>
        <w:rPr>
          <w:rFonts w:ascii="Arial" w:hAnsi="Arial"/>
        </w:rPr>
      </w:pPr>
      <w:r>
        <w:rPr>
          <w:rFonts w:cs="" w:ascii="Arial" w:hAnsi="Arial" w:cstheme="majorBidi"/>
          <w:sz w:val="24"/>
          <w:szCs w:val="24"/>
        </w:rPr>
        <w:t>Kierownik budowy (główny wykonawca robót),</w:t>
      </w:r>
    </w:p>
    <w:p>
      <w:pPr>
        <w:pStyle w:val="Normal"/>
        <w:numPr>
          <w:ilvl w:val="0"/>
          <w:numId w:val="12"/>
        </w:numPr>
        <w:tabs>
          <w:tab w:val="clear" w:pos="708"/>
          <w:tab w:val="left" w:pos="720" w:leader="none"/>
        </w:tabs>
        <w:spacing w:lineRule="auto" w:line="360"/>
        <w:jc w:val="both"/>
        <w:rPr>
          <w:rFonts w:ascii="Arial" w:hAnsi="Arial"/>
        </w:rPr>
      </w:pPr>
      <w:r>
        <w:rPr>
          <w:rFonts w:cs="" w:ascii="Arial" w:hAnsi="Arial" w:cstheme="majorBidi"/>
          <w:sz w:val="24"/>
          <w:szCs w:val="24"/>
        </w:rPr>
        <w:t>Kierownik robót elektrycznych,</w:t>
      </w:r>
    </w:p>
    <w:p>
      <w:pPr>
        <w:pStyle w:val="Normal"/>
        <w:numPr>
          <w:ilvl w:val="0"/>
          <w:numId w:val="12"/>
        </w:numPr>
        <w:tabs>
          <w:tab w:val="clear" w:pos="708"/>
          <w:tab w:val="left" w:pos="720" w:leader="none"/>
        </w:tabs>
        <w:spacing w:lineRule="auto" w:line="360"/>
        <w:jc w:val="both"/>
        <w:rPr>
          <w:rFonts w:ascii="Arial" w:hAnsi="Arial"/>
        </w:rPr>
      </w:pPr>
      <w:r>
        <w:rPr>
          <w:rFonts w:cs="" w:ascii="Arial" w:hAnsi="Arial" w:cstheme="majorBidi"/>
          <w:sz w:val="24"/>
          <w:szCs w:val="24"/>
        </w:rPr>
        <w:t>Przedstawiciele użytkownika obiektu.</w:t>
      </w:r>
    </w:p>
    <w:p>
      <w:pPr>
        <w:pStyle w:val="Heading1"/>
        <w:numPr>
          <w:ilvl w:val="0"/>
          <w:numId w:val="1"/>
        </w:numPr>
        <w:rPr>
          <w:rFonts w:ascii="Arial" w:hAnsi="Arial"/>
        </w:rPr>
      </w:pPr>
      <w:bookmarkStart w:id="83" w:name="__RefHeading___Toc932_3592927575"/>
      <w:bookmarkStart w:id="84" w:name="_Toc124674405"/>
      <w:bookmarkEnd w:id="83"/>
      <w:r>
        <w:rPr>
          <w:rFonts w:cs="" w:cstheme="majorBidi"/>
          <w:bCs/>
          <w:kern w:val="0"/>
          <w:szCs w:val="28"/>
        </w:rPr>
        <w:t>Podstawa płatności</w:t>
      </w:r>
      <w:bookmarkEnd w:id="84"/>
    </w:p>
    <w:p>
      <w:pPr>
        <w:pStyle w:val="Normal"/>
        <w:spacing w:lineRule="auto" w:line="360"/>
        <w:rPr>
          <w:rFonts w:ascii="Arial" w:hAnsi="Arial" w:cs="" w:cstheme="majorBidi"/>
          <w:sz w:val="24"/>
          <w:szCs w:val="24"/>
        </w:rPr>
      </w:pPr>
      <w:r>
        <w:rPr>
          <w:rFonts w:cs="" w:cstheme="majorBidi" w:ascii="Arial" w:hAnsi="Arial"/>
          <w:sz w:val="24"/>
          <w:szCs w:val="24"/>
        </w:rPr>
      </w:r>
    </w:p>
    <w:p>
      <w:pPr>
        <w:pStyle w:val="Normal"/>
        <w:spacing w:lineRule="auto" w:line="360"/>
        <w:ind w:firstLine="567"/>
        <w:rPr>
          <w:rFonts w:ascii="Arial" w:hAnsi="Arial"/>
        </w:rPr>
      </w:pPr>
      <w:r>
        <w:rPr>
          <w:rFonts w:cs="" w:ascii="Arial" w:hAnsi="Arial" w:cstheme="majorBidi"/>
          <w:sz w:val="24"/>
          <w:szCs w:val="24"/>
        </w:rPr>
        <w:t>Rozliczenie robót montażowych linii i instalacji elektroenergetycznych może być dokonane jednorazowo po wykonaniu pełnego zakresu robót i ich końcowym odbiorze lub etapami określonymi w umowie, po dokonaniu odbiorów częściowych robót.</w:t>
      </w:r>
    </w:p>
    <w:p>
      <w:pPr>
        <w:pStyle w:val="Normal"/>
        <w:spacing w:lineRule="auto" w:line="360"/>
        <w:rPr>
          <w:rFonts w:ascii="Arial" w:hAnsi="Arial"/>
        </w:rPr>
      </w:pPr>
      <w:r>
        <w:rPr>
          <w:rFonts w:cs="" w:ascii="Arial" w:hAnsi="Arial" w:cstheme="majorBidi"/>
          <w:sz w:val="24"/>
          <w:szCs w:val="24"/>
        </w:rPr>
        <w:t xml:space="preserve">Ostateczne rozliczenie umowy pomiędzy zamawiającym a wykonawcą następuje po dokonaniu odbioru pogwarancyjnego. </w:t>
      </w:r>
    </w:p>
    <w:p>
      <w:pPr>
        <w:pStyle w:val="Normal"/>
        <w:spacing w:lineRule="auto" w:line="360"/>
        <w:rPr>
          <w:rFonts w:ascii="Arial" w:hAnsi="Arial"/>
        </w:rPr>
      </w:pPr>
      <w:r>
        <w:rPr>
          <w:rFonts w:cs="" w:ascii="Arial" w:hAnsi="Arial" w:cstheme="majorBidi"/>
          <w:sz w:val="24"/>
          <w:szCs w:val="24"/>
        </w:rPr>
        <w:t>Podstawę rozliczenia oraz płatności wykonanego i odebranego zakresu robót stanowi wartość tych robót obliczona na podstawie:</w:t>
      </w:r>
    </w:p>
    <w:p>
      <w:pPr>
        <w:pStyle w:val="ListParagraph"/>
        <w:numPr>
          <w:ilvl w:val="0"/>
          <w:numId w:val="10"/>
        </w:numPr>
        <w:spacing w:lineRule="auto" w:line="360"/>
        <w:rPr>
          <w:rFonts w:ascii="Arial" w:hAnsi="Arial"/>
        </w:rPr>
      </w:pPr>
      <w:r>
        <w:rPr>
          <w:rFonts w:cs="" w:ascii="Arial" w:hAnsi="Arial" w:cstheme="majorBidi"/>
          <w:sz w:val="24"/>
          <w:szCs w:val="24"/>
        </w:rPr>
        <w:t>określonych w dokumentach umownych (ofercie) cen jednostkowych i ilości robót zaakceptowanych przez zamawiającego lub</w:t>
      </w:r>
    </w:p>
    <w:p>
      <w:pPr>
        <w:pStyle w:val="ListParagraph"/>
        <w:numPr>
          <w:ilvl w:val="0"/>
          <w:numId w:val="10"/>
        </w:numPr>
        <w:spacing w:lineRule="auto" w:line="360"/>
        <w:rPr>
          <w:rFonts w:ascii="Arial" w:hAnsi="Arial"/>
        </w:rPr>
      </w:pPr>
      <w:r>
        <w:rPr>
          <w:rFonts w:cs="" w:ascii="Arial" w:hAnsi="Arial" w:cstheme="majorBidi"/>
          <w:sz w:val="24"/>
          <w:szCs w:val="24"/>
        </w:rPr>
        <w:t>ustalonej w umowie kwoty ryczałtowej za określony zakres robót.</w:t>
      </w:r>
    </w:p>
    <w:p>
      <w:pPr>
        <w:pStyle w:val="Normal"/>
        <w:spacing w:lineRule="auto" w:line="360"/>
        <w:rPr>
          <w:rFonts w:ascii="Arial" w:hAnsi="Arial"/>
        </w:rPr>
      </w:pPr>
      <w:r>
        <w:rPr>
          <w:rFonts w:cs="" w:ascii="Arial" w:hAnsi="Arial" w:cstheme="majorBidi"/>
          <w:sz w:val="24"/>
          <w:szCs w:val="24"/>
        </w:rPr>
        <w:t>Ceny jednostkowe wykonania robót instalacji elektroenergetycznych lub kwoty ryczałtowe obejmujące roboty ww. uwzględniają:</w:t>
      </w:r>
    </w:p>
    <w:p>
      <w:pPr>
        <w:pStyle w:val="ListParagraph"/>
        <w:numPr>
          <w:ilvl w:val="0"/>
          <w:numId w:val="10"/>
        </w:numPr>
        <w:spacing w:lineRule="auto" w:line="360"/>
        <w:rPr>
          <w:rFonts w:ascii="Arial" w:hAnsi="Arial"/>
        </w:rPr>
      </w:pPr>
      <w:r>
        <w:rPr>
          <w:rFonts w:cs="" w:ascii="Arial" w:hAnsi="Arial" w:cstheme="majorBidi"/>
          <w:sz w:val="24"/>
          <w:szCs w:val="24"/>
        </w:rPr>
        <w:t>przygotowanie stanowiska roboczego,</w:t>
      </w:r>
    </w:p>
    <w:p>
      <w:pPr>
        <w:pStyle w:val="ListParagraph"/>
        <w:numPr>
          <w:ilvl w:val="0"/>
          <w:numId w:val="10"/>
        </w:numPr>
        <w:spacing w:lineRule="auto" w:line="360"/>
        <w:rPr>
          <w:rFonts w:ascii="Arial" w:hAnsi="Arial"/>
        </w:rPr>
      </w:pPr>
      <w:r>
        <w:rPr>
          <w:rFonts w:cs="" w:ascii="Arial" w:hAnsi="Arial" w:cstheme="majorBidi"/>
          <w:sz w:val="24"/>
          <w:szCs w:val="24"/>
        </w:rPr>
        <w:t>dostarczenie do stanowiska roboczego materiałów, narzędzi i sprzętu,</w:t>
      </w:r>
    </w:p>
    <w:p>
      <w:pPr>
        <w:pStyle w:val="ListParagraph"/>
        <w:numPr>
          <w:ilvl w:val="0"/>
          <w:numId w:val="10"/>
        </w:numPr>
        <w:spacing w:lineRule="auto" w:line="360"/>
        <w:rPr>
          <w:rFonts w:ascii="Arial" w:hAnsi="Arial"/>
        </w:rPr>
      </w:pPr>
      <w:r>
        <w:rPr>
          <w:rFonts w:cs="" w:ascii="Arial" w:hAnsi="Arial" w:cstheme="majorBidi"/>
          <w:sz w:val="24"/>
          <w:szCs w:val="24"/>
        </w:rPr>
        <w:t>obsługę sprzętu nie posiadającego etatowej obsługi,</w:t>
      </w:r>
    </w:p>
    <w:p>
      <w:pPr>
        <w:pStyle w:val="ListParagraph"/>
        <w:numPr>
          <w:ilvl w:val="0"/>
          <w:numId w:val="10"/>
        </w:numPr>
        <w:spacing w:lineRule="auto" w:line="360"/>
        <w:rPr>
          <w:rFonts w:ascii="Arial" w:hAnsi="Arial"/>
        </w:rPr>
      </w:pPr>
      <w:r>
        <w:rPr>
          <w:rFonts w:cs="" w:ascii="Arial" w:hAnsi="Arial" w:cstheme="majorBidi"/>
          <w:sz w:val="24"/>
          <w:szCs w:val="24"/>
        </w:rPr>
        <w:t xml:space="preserve">ustawienie i przestawienie drabin oraz lekkich rusztowań przestawnych umożliwiających wykonanie robót na wysokości do 4 m (jeśli taka konieczność występuje), </w:t>
      </w:r>
    </w:p>
    <w:p>
      <w:pPr>
        <w:pStyle w:val="ListParagraph"/>
        <w:numPr>
          <w:ilvl w:val="0"/>
          <w:numId w:val="10"/>
        </w:numPr>
        <w:spacing w:lineRule="auto" w:line="360"/>
        <w:rPr>
          <w:rFonts w:ascii="Arial" w:hAnsi="Arial"/>
        </w:rPr>
      </w:pPr>
      <w:r>
        <w:rPr>
          <w:rFonts w:cs="" w:ascii="Arial" w:hAnsi="Arial" w:cstheme="majorBidi"/>
          <w:sz w:val="24"/>
          <w:szCs w:val="24"/>
        </w:rPr>
        <w:t>usunięcie wad i usterek oraz naprawienie uszkodzeń powstałych w czasie robót,</w:t>
      </w:r>
    </w:p>
    <w:p>
      <w:pPr>
        <w:pStyle w:val="ListParagraph"/>
        <w:numPr>
          <w:ilvl w:val="0"/>
          <w:numId w:val="10"/>
        </w:numPr>
        <w:spacing w:lineRule="auto" w:line="360"/>
        <w:rPr>
          <w:rFonts w:ascii="Arial" w:hAnsi="Arial"/>
        </w:rPr>
      </w:pPr>
      <w:r>
        <w:rPr>
          <w:rFonts w:cs="" w:ascii="Arial" w:hAnsi="Arial" w:cstheme="majorBidi"/>
          <w:sz w:val="24"/>
          <w:szCs w:val="24"/>
        </w:rPr>
        <w:t>uporządkowanie miejsca wykonywania robót,</w:t>
      </w:r>
    </w:p>
    <w:p>
      <w:pPr>
        <w:pStyle w:val="ListParagraph"/>
        <w:numPr>
          <w:ilvl w:val="0"/>
          <w:numId w:val="10"/>
        </w:numPr>
        <w:spacing w:lineRule="auto" w:line="360"/>
        <w:rPr>
          <w:rFonts w:ascii="Arial" w:hAnsi="Arial"/>
        </w:rPr>
      </w:pPr>
      <w:r>
        <w:rPr>
          <w:rFonts w:cs="" w:ascii="Arial" w:hAnsi="Arial" w:cstheme="majorBidi"/>
          <w:sz w:val="24"/>
          <w:szCs w:val="24"/>
        </w:rPr>
        <w:t>usunięcie pozostałości, resztek i odpadów materiałów w sposób podany w specyfikacji technicznej szczegółowej,</w:t>
      </w:r>
    </w:p>
    <w:p>
      <w:pPr>
        <w:pStyle w:val="ListParagraph"/>
        <w:numPr>
          <w:ilvl w:val="0"/>
          <w:numId w:val="10"/>
        </w:numPr>
        <w:spacing w:lineRule="auto" w:line="360"/>
        <w:rPr>
          <w:rFonts w:ascii="Arial" w:hAnsi="Arial"/>
        </w:rPr>
      </w:pPr>
      <w:r>
        <w:rPr>
          <w:rFonts w:cs="" w:ascii="Arial" w:hAnsi="Arial" w:cstheme="majorBidi"/>
          <w:sz w:val="24"/>
          <w:szCs w:val="24"/>
        </w:rPr>
        <w:t>likwidację stanowiska roboczego.</w:t>
      </w:r>
    </w:p>
    <w:p>
      <w:pPr>
        <w:pStyle w:val="Normal"/>
        <w:spacing w:lineRule="auto" w:line="360"/>
        <w:rPr>
          <w:rFonts w:ascii="Arial" w:hAnsi="Arial"/>
        </w:rPr>
      </w:pPr>
      <w:r>
        <w:rPr>
          <w:rFonts w:cs="" w:ascii="Arial" w:hAnsi="Arial" w:cstheme="majorBidi"/>
          <w:sz w:val="24"/>
          <w:szCs w:val="24"/>
        </w:rPr>
        <w:tab/>
        <w:t>W kwotach ryczałtowych ujęte są również koszty montażu, demontażu i pracy rusztowań niezbędnych do wykonania robót na wysokości do 4 m od poziomu terenu.</w:t>
      </w:r>
    </w:p>
    <w:p>
      <w:pPr>
        <w:pStyle w:val="Normal"/>
        <w:spacing w:lineRule="auto" w:line="360"/>
        <w:rPr>
          <w:rFonts w:ascii="Arial" w:hAnsi="Arial"/>
        </w:rPr>
      </w:pPr>
      <w:r>
        <w:rPr>
          <w:rFonts w:cs="" w:ascii="Arial" w:hAnsi="Arial" w:cstheme="majorBidi"/>
          <w:sz w:val="24"/>
          <w:szCs w:val="24"/>
        </w:rPr>
        <w:t>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 ST robót w zakresie robót instalacji elektroenergetycznych opracowanych dla realizowanego przedmiotu zamówienia.</w:t>
      </w:r>
    </w:p>
    <w:p>
      <w:pPr>
        <w:pStyle w:val="Heading1"/>
        <w:numPr>
          <w:ilvl w:val="0"/>
          <w:numId w:val="1"/>
        </w:numPr>
        <w:rPr>
          <w:rFonts w:ascii="Arial" w:hAnsi="Arial"/>
        </w:rPr>
      </w:pPr>
      <w:bookmarkStart w:id="85" w:name="__RefHeading___Toc934_3592927575"/>
      <w:bookmarkStart w:id="86" w:name="_Toc124674406"/>
      <w:bookmarkEnd w:id="85"/>
      <w:r>
        <w:rPr>
          <w:rFonts w:cs="" w:cstheme="majorBidi"/>
          <w:bCs/>
          <w:kern w:val="0"/>
          <w:szCs w:val="28"/>
        </w:rPr>
        <w:t>Dokumenty odniesienia</w:t>
      </w:r>
      <w:bookmarkEnd w:id="86"/>
    </w:p>
    <w:p>
      <w:pPr>
        <w:pStyle w:val="Normal"/>
        <w:rPr>
          <w:rFonts w:ascii="Arial" w:hAnsi="Arial"/>
        </w:rPr>
      </w:pPr>
      <w:r>
        <w:rPr>
          <w:rFonts w:ascii="Arial" w:hAnsi="Arial"/>
        </w:rPr>
      </w:r>
    </w:p>
    <w:p>
      <w:pPr>
        <w:pStyle w:val="Heading2"/>
        <w:numPr>
          <w:ilvl w:val="1"/>
          <w:numId w:val="1"/>
        </w:numPr>
        <w:rPr>
          <w:rFonts w:ascii="Arial" w:hAnsi="Arial"/>
        </w:rPr>
      </w:pPr>
      <w:bookmarkStart w:id="87" w:name="__RefHeading___Toc936_3592927575"/>
      <w:bookmarkStart w:id="88" w:name="_Toc29969276"/>
      <w:bookmarkStart w:id="89" w:name="_Toc124674407"/>
      <w:bookmarkEnd w:id="87"/>
      <w:r>
        <w:rPr>
          <w:rFonts w:cs="" w:cstheme="majorBidi"/>
          <w:b w:val="false"/>
          <w:sz w:val="24"/>
          <w:szCs w:val="24"/>
        </w:rPr>
        <w:t>Obowiązujące normy i przepisy</w:t>
      </w:r>
      <w:bookmarkEnd w:id="88"/>
      <w:bookmarkEnd w:id="89"/>
    </w:p>
    <w:p>
      <w:pPr>
        <w:pStyle w:val="NormalWeb"/>
        <w:spacing w:lineRule="auto" w:line="360" w:before="0" w:after="0"/>
        <w:rPr>
          <w:rFonts w:ascii="Arial" w:hAnsi="Arial"/>
        </w:rPr>
      </w:pPr>
      <w:r>
        <w:rPr>
          <w:rFonts w:cs="" w:ascii="Arial" w:hAnsi="Arial" w:cstheme="majorBidi"/>
        </w:rPr>
        <w:t>Podczas projektowania i realizacji obiektu należy przestrzegać postanowień obowiązujących przepisów dotyczących budowy, a w szczególności:</w:t>
      </w:r>
    </w:p>
    <w:p>
      <w:pPr>
        <w:pStyle w:val="NormalWeb"/>
        <w:spacing w:lineRule="auto" w:line="360" w:before="0" w:after="0"/>
        <w:rPr>
          <w:rFonts w:ascii="Arial" w:hAnsi="Arial"/>
        </w:rPr>
      </w:pPr>
      <w:r>
        <w:rPr>
          <w:rFonts w:cs="" w:ascii="Arial" w:hAnsi="Arial" w:cstheme="majorBidi"/>
        </w:rPr>
        <w:t>- Ustawa z dnia 7 lipca 1994 roku Prawo Budowlane (Jedn.tekst Dz.U. 207/2006, poz. 1118 z późn.zm.).</w:t>
      </w:r>
    </w:p>
    <w:p>
      <w:pPr>
        <w:pStyle w:val="NormalWeb"/>
        <w:spacing w:lineRule="auto" w:line="360" w:before="0" w:after="0"/>
        <w:rPr>
          <w:rFonts w:ascii="Arial" w:hAnsi="Arial"/>
        </w:rPr>
      </w:pPr>
      <w:r>
        <w:rPr>
          <w:rFonts w:cs="" w:ascii="Arial" w:hAnsi="Arial" w:cstheme="majorBidi"/>
        </w:rPr>
        <w:t>- Rozporządzenie Ministra Spraw Wewnętrznych i Administracji z dnia 7 czerwca 2010 r. w sprawie ochrony przeciwpożarowej budynków, innych obiektów budowlanych i terenów (Dz. U. Nr 109, poz. 719)</w:t>
      </w:r>
    </w:p>
    <w:p>
      <w:pPr>
        <w:pStyle w:val="NormalWeb"/>
        <w:spacing w:lineRule="auto" w:line="360" w:before="0" w:after="0"/>
        <w:rPr>
          <w:rFonts w:ascii="Arial" w:hAnsi="Arial"/>
        </w:rPr>
      </w:pPr>
      <w:r>
        <w:rPr>
          <w:rFonts w:cs="" w:ascii="Arial" w:hAnsi="Arial" w:cstheme="majorBidi"/>
        </w:rPr>
        <w:t>- Rozporządzenie Ministra Spraw Wewnętrznych i Administracji z dnia 20 czerwca 2007 r. w sprawie wykazu wyrobów służących zapewnieniu bezpieczeństwa publicznego lub ochronie zdrowia i życia oraz mienia, a także zasad wydawania dopuszczenia tych wyrobów do użytkowania (Dz. U. Nr 143, poz. 1002 ze zm.)</w:t>
      </w:r>
    </w:p>
    <w:p>
      <w:pPr>
        <w:pStyle w:val="NormalWeb"/>
        <w:spacing w:lineRule="auto" w:line="360" w:before="0" w:after="0"/>
        <w:rPr>
          <w:rFonts w:ascii="Arial" w:hAnsi="Arial"/>
        </w:rPr>
      </w:pPr>
      <w:r>
        <w:rPr>
          <w:rFonts w:cs="" w:ascii="Arial" w:hAnsi="Arial" w:cstheme="majorBidi"/>
        </w:rPr>
        <w:t>- Rozporządzenie Ministra Infrastruktury z dnia 12 kwietnia 2002 roku w sprawie warunków technicznych, jakim powinny odpowiadać budynki i ich usytuowanie /Dz. U. Z dnia 15 czerwca 2002 roku/,</w:t>
      </w:r>
    </w:p>
    <w:p>
      <w:pPr>
        <w:pStyle w:val="NormalWeb"/>
        <w:spacing w:lineRule="auto" w:line="360" w:before="0" w:after="0"/>
        <w:rPr>
          <w:rFonts w:ascii="Arial" w:hAnsi="Arial"/>
        </w:rPr>
      </w:pPr>
      <w:r>
        <w:rPr>
          <w:rFonts w:cs="" w:ascii="Arial" w:hAnsi="Arial" w:cstheme="majorBidi"/>
        </w:rPr>
        <w:t xml:space="preserve">- PN-HD 60364-1:2010 „Instalacje elektryczne niskiego napięcia. Część 1: Wymagania podstawowe, ustalanie ogólnych charakterystyk, definicje” </w:t>
      </w:r>
    </w:p>
    <w:p>
      <w:pPr>
        <w:pStyle w:val="NormalWeb"/>
        <w:spacing w:lineRule="auto" w:line="360" w:before="0" w:after="0"/>
        <w:rPr>
          <w:rFonts w:ascii="Arial" w:hAnsi="Arial"/>
        </w:rPr>
      </w:pPr>
      <w:r>
        <w:rPr>
          <w:rFonts w:cs="" w:ascii="Arial" w:hAnsi="Arial" w:cstheme="majorBidi"/>
        </w:rPr>
        <w:t>- PN-HD 60364-4-41:2009 „Instalacje elektryczne niskiego napięcia. Część 4-41: Ochrona zapewnienia bezpieczeństwa. ochrona przed porażeniem elektrycznym”</w:t>
      </w:r>
    </w:p>
    <w:p>
      <w:pPr>
        <w:pStyle w:val="NormalWeb"/>
        <w:spacing w:lineRule="auto" w:line="360" w:before="0" w:after="0"/>
        <w:rPr>
          <w:rFonts w:ascii="Arial" w:hAnsi="Arial"/>
        </w:rPr>
      </w:pPr>
      <w:r>
        <w:rPr>
          <w:rFonts w:cs="" w:ascii="Arial" w:hAnsi="Arial" w:cstheme="majorBidi"/>
        </w:rPr>
        <w:t>- PN-IEC 60364-4-42:1999 „Instalacje elektryczne w obiektach budowlanych. Ochrona dla zapewnienia bezpieczeństwa. Ochrona przed skutkami oddziaływania cieplnego”</w:t>
      </w:r>
    </w:p>
    <w:p>
      <w:pPr>
        <w:pStyle w:val="NormalWeb"/>
        <w:spacing w:lineRule="auto" w:line="360" w:before="0" w:after="0"/>
        <w:rPr>
          <w:rFonts w:ascii="Arial" w:hAnsi="Arial"/>
        </w:rPr>
      </w:pPr>
      <w:r>
        <w:rPr>
          <w:rFonts w:cs="" w:ascii="Arial" w:hAnsi="Arial" w:cstheme="majorBidi"/>
        </w:rPr>
        <w:t>- PN-IEC 60364-4-43:1999 „Instalacje elektryczne w obiektach budowlanych. Ochrona dla zapewnienia bezpieczeństwa. Ochrona przed prądem przetężeniowym”</w:t>
      </w:r>
    </w:p>
    <w:p>
      <w:pPr>
        <w:pStyle w:val="NormalWeb"/>
        <w:spacing w:lineRule="auto" w:line="360" w:before="0" w:after="0"/>
        <w:rPr>
          <w:rFonts w:ascii="Arial" w:hAnsi="Arial"/>
        </w:rPr>
      </w:pPr>
      <w:r>
        <w:rPr>
          <w:rFonts w:cs="" w:ascii="Arial" w:hAnsi="Arial" w:cstheme="majorBidi"/>
        </w:rPr>
        <w:t>- PN-IEC 60364-4-442:1999 „Instalacje elektryczne w obiektach budowlanych. Ochrona dla zapewnienia bezpieczeństwa. Ochrona przed przepięciami. Ochrona instalacji niskiego napięcia przed przejściowymi przepięciami i uszkodzeniami przy doziemieniach w sieciach wysokiego napięcia”</w:t>
      </w:r>
    </w:p>
    <w:p>
      <w:pPr>
        <w:pStyle w:val="NormalWeb"/>
        <w:spacing w:lineRule="auto" w:line="360" w:before="0" w:after="0"/>
        <w:rPr>
          <w:rFonts w:ascii="Arial" w:hAnsi="Arial"/>
        </w:rPr>
      </w:pPr>
      <w:r>
        <w:rPr>
          <w:rFonts w:cs="" w:ascii="Arial" w:hAnsi="Arial" w:cstheme="majorBidi"/>
        </w:rPr>
        <w:t>- PN-IEC 60364-4-443:1999 „Instalacje elektryczne w obiektach budowlanych. Ochrona dla zapewnienia bezpieczeństwa. Ochrona przed przepięciami. Ochrona przed przepięciami atmosferycznymi lub łączeniowymi”</w:t>
      </w:r>
    </w:p>
    <w:p>
      <w:pPr>
        <w:pStyle w:val="NormalWeb"/>
        <w:spacing w:lineRule="auto" w:line="360" w:before="0" w:after="0"/>
        <w:rPr>
          <w:rFonts w:ascii="Arial" w:hAnsi="Arial"/>
        </w:rPr>
      </w:pPr>
      <w:r>
        <w:rPr>
          <w:rFonts w:cs="" w:ascii="Arial" w:hAnsi="Arial" w:cstheme="majorBidi"/>
        </w:rPr>
        <w:t>- PN-IEC 60364-4-444:2001 „Instalacje elektryczne w obiektach budowlanych. Ochrona dla zapewnienia bezpieczeństwa. Ochrona przed przepięciami. Ochrona przed zakłóceniami elektromagnetycznymi (EMI) w instalacjach obiektów budowlanych”</w:t>
      </w:r>
    </w:p>
    <w:p>
      <w:pPr>
        <w:pStyle w:val="NormalWeb"/>
        <w:spacing w:lineRule="auto" w:line="360" w:before="0" w:after="0"/>
        <w:rPr>
          <w:rFonts w:ascii="Arial" w:hAnsi="Arial"/>
        </w:rPr>
      </w:pPr>
      <w:r>
        <w:rPr>
          <w:rFonts w:cs="" w:ascii="Arial" w:hAnsi="Arial" w:cstheme="majorBidi"/>
        </w:rPr>
        <w:t>- PN-IEC 60364-4-45:1999 „Instalacje elektryczne w obiektach budowlanych. Ochrona dla zapewnienia bezpieczeństwa. Ochrona przed obniżeniem napięcia”</w:t>
      </w:r>
    </w:p>
    <w:p>
      <w:pPr>
        <w:pStyle w:val="NormalWeb"/>
        <w:spacing w:lineRule="auto" w:line="360" w:before="0" w:after="0"/>
        <w:rPr>
          <w:rFonts w:ascii="Arial" w:hAnsi="Arial"/>
        </w:rPr>
      </w:pPr>
      <w:r>
        <w:rPr>
          <w:rFonts w:cs="" w:ascii="Arial" w:hAnsi="Arial" w:cstheme="majorBidi"/>
        </w:rPr>
        <w:t>- PN-IEC 60364-4-473:1999 „Instalacje elektryczne w obiektach budowlanych. Ochrona dla zapewnienia bezpieczeństwa. Środki ochrony przed prądem przetężeniowym”</w:t>
      </w:r>
    </w:p>
    <w:p>
      <w:pPr>
        <w:pStyle w:val="NormalWeb"/>
        <w:spacing w:lineRule="auto" w:line="360" w:before="0" w:after="0"/>
        <w:rPr>
          <w:rFonts w:ascii="Arial" w:hAnsi="Arial"/>
        </w:rPr>
      </w:pPr>
      <w:r>
        <w:rPr>
          <w:rFonts w:cs="" w:ascii="Arial" w:hAnsi="Arial" w:cstheme="majorBidi"/>
        </w:rPr>
        <w:t>- PN-IEC 364-4-481:1994 „Instalacje elektryczne w obiektach budowlanych. Ochrona zapewniająca bezpieczeństwo. Dobór środków ochrony w zależności od wpływów zewnętrznych. Wybór środków ochrony przeciwporażeniowej w zależności od wpływów zewnętrznych (w zakresie pkt.481.3.1.1)”</w:t>
      </w:r>
    </w:p>
    <w:p>
      <w:pPr>
        <w:pStyle w:val="NormalWeb"/>
        <w:spacing w:lineRule="auto" w:line="360" w:before="0" w:after="0"/>
        <w:rPr>
          <w:rFonts w:ascii="Arial" w:hAnsi="Arial"/>
        </w:rPr>
      </w:pPr>
      <w:r>
        <w:rPr>
          <w:rFonts w:cs="" w:ascii="Arial" w:hAnsi="Arial" w:cstheme="majorBidi"/>
        </w:rPr>
        <w:t>- PN-IEC 60364-5-51:2000 „Instalacje elektryczne w obiektach budowlanych. Dobór i montaż wyposażenia elektrycznego. Postanowienia ogólne”</w:t>
      </w:r>
    </w:p>
    <w:p>
      <w:pPr>
        <w:pStyle w:val="NormalWeb"/>
        <w:spacing w:lineRule="auto" w:line="360" w:before="0" w:after="0"/>
        <w:rPr>
          <w:rFonts w:ascii="Arial" w:hAnsi="Arial"/>
        </w:rPr>
      </w:pPr>
      <w:r>
        <w:rPr>
          <w:rFonts w:cs="" w:ascii="Arial" w:hAnsi="Arial" w:cstheme="majorBidi"/>
        </w:rPr>
        <w:t>- PN-IEC 60364-5-52:2002 „Instalacje elektryczne w obiektach budowlanych. Dobór i montaż wyposażenia elektrycznego. Oprzewodowanie”</w:t>
      </w:r>
    </w:p>
    <w:p>
      <w:pPr>
        <w:pStyle w:val="NormalWeb"/>
        <w:spacing w:lineRule="auto" w:line="360" w:before="0" w:after="0"/>
        <w:rPr>
          <w:rFonts w:ascii="Arial" w:hAnsi="Arial"/>
        </w:rPr>
      </w:pPr>
      <w:r>
        <w:rPr>
          <w:rFonts w:cs="" w:ascii="Arial" w:hAnsi="Arial" w:cstheme="majorBidi"/>
        </w:rPr>
        <w:t>- PN-IEC 60364-5-523:2001 „Instalacje elektryczne w obiektach budowlanych. Dobór i montaż wyposażenia elektrycznego. Obciążalność prądowa długotrwała przewodów”</w:t>
      </w:r>
    </w:p>
    <w:p>
      <w:pPr>
        <w:pStyle w:val="NormalWeb"/>
        <w:spacing w:lineRule="auto" w:line="360" w:before="0" w:after="0"/>
        <w:rPr>
          <w:rFonts w:ascii="Arial" w:hAnsi="Arial"/>
        </w:rPr>
      </w:pPr>
      <w:r>
        <w:rPr>
          <w:rFonts w:cs="" w:ascii="Arial" w:hAnsi="Arial" w:cstheme="majorBidi"/>
        </w:rPr>
        <w:t>- PN-IEC 60364-5-53:2000 „Instalacje elektryczne w obiektach budowlanych. Dobór i montaż wyposażenia elektrycznego. Aparatura rozdzielcza i sterownicza”</w:t>
      </w:r>
    </w:p>
    <w:p>
      <w:pPr>
        <w:pStyle w:val="NormalWeb"/>
        <w:spacing w:lineRule="auto" w:line="360" w:before="0" w:after="0"/>
        <w:rPr>
          <w:rFonts w:ascii="Arial" w:hAnsi="Arial"/>
        </w:rPr>
      </w:pPr>
      <w:r>
        <w:rPr>
          <w:rFonts w:cs="" w:ascii="Arial" w:hAnsi="Arial" w:cstheme="majorBidi"/>
        </w:rPr>
        <w:t>- PN-IEC 60364-5-534:2003 „Instalacje elektryczne w obiektach budowlanych. Dobór i montaż wyposażenia elektrycznego. Urządzenia do ochrony przed przepięciami”</w:t>
      </w:r>
    </w:p>
    <w:p>
      <w:pPr>
        <w:pStyle w:val="NormalWeb"/>
        <w:spacing w:lineRule="auto" w:line="360" w:before="0" w:after="0"/>
        <w:rPr>
          <w:rFonts w:ascii="Arial" w:hAnsi="Arial"/>
        </w:rPr>
      </w:pPr>
      <w:r>
        <w:rPr>
          <w:rFonts w:cs="" w:ascii="Arial" w:hAnsi="Arial" w:cstheme="majorBidi"/>
        </w:rPr>
        <w:t>- PN-IEC 60364-5-537:1999 „Instalacje elektryczne w obiektach budowlanych. Dobór i montaż wyposażenia elektrycznego. Urządzenia do odłączania izolacyjnego i łączenia”</w:t>
      </w:r>
    </w:p>
    <w:p>
      <w:pPr>
        <w:pStyle w:val="NormalWeb"/>
        <w:spacing w:lineRule="auto" w:line="360" w:before="0" w:after="0"/>
        <w:rPr>
          <w:rFonts w:ascii="Arial" w:hAnsi="Arial"/>
        </w:rPr>
      </w:pPr>
      <w:r>
        <w:rPr>
          <w:rFonts w:cs="" w:ascii="Arial" w:hAnsi="Arial" w:cstheme="majorBidi"/>
        </w:rPr>
        <w:t>- PN-HD 60364-5-54:2010 „Instalacje elektryczne niskiego napięcia. Część 5-54: Dobór i montaż wyposażenia elektrycznego. Uziemienia, przewody ochronne i przewody połączeń ochronnych”</w:t>
      </w:r>
    </w:p>
    <w:p>
      <w:pPr>
        <w:pStyle w:val="NormalWeb"/>
        <w:spacing w:lineRule="auto" w:line="360" w:before="0" w:after="0"/>
        <w:rPr>
          <w:rFonts w:ascii="Arial" w:hAnsi="Arial"/>
        </w:rPr>
      </w:pPr>
      <w:r>
        <w:rPr>
          <w:rFonts w:cs="" w:ascii="Arial" w:hAnsi="Arial" w:cstheme="majorBidi"/>
        </w:rPr>
        <w:t>- PN-IEC 60364-5-551:2003 „Instalacje elektryczne w obiektach budowlanych. Dobór i montaż wyposażenia elektrycznego. Niskonapięciowe zespoły prądotwórcze”</w:t>
      </w:r>
    </w:p>
    <w:p>
      <w:pPr>
        <w:pStyle w:val="NormalWeb"/>
        <w:spacing w:lineRule="auto" w:line="360" w:before="0" w:after="0"/>
        <w:rPr>
          <w:rFonts w:ascii="Arial" w:hAnsi="Arial"/>
        </w:rPr>
      </w:pPr>
      <w:r>
        <w:rPr>
          <w:rFonts w:cs="" w:ascii="Arial" w:hAnsi="Arial" w:cstheme="majorBidi"/>
        </w:rPr>
        <w:t>- PN-HD 60364-6:2008 „Instalacje elektryczne niskiego napięcia. Część 6: Sprawdzanie”</w:t>
      </w:r>
    </w:p>
    <w:p>
      <w:pPr>
        <w:pStyle w:val="NormalWeb"/>
        <w:spacing w:lineRule="auto" w:line="360" w:before="0" w:after="0"/>
        <w:rPr>
          <w:rFonts w:ascii="Arial" w:hAnsi="Arial"/>
        </w:rPr>
      </w:pPr>
      <w:r>
        <w:rPr>
          <w:rFonts w:cs="" w:ascii="Arial" w:hAnsi="Arial" w:cstheme="majorBidi"/>
        </w:rPr>
        <w:t>- PN-EN 60445:2010 „Zasady podstawowe i bezpieczeństwa przy współdziałaniu człowieka z maszyną, znakowanie i identyfikacja. Identyfikacja zacisków urządzeń i zakończeń przewodów”</w:t>
      </w:r>
    </w:p>
    <w:p>
      <w:pPr>
        <w:pStyle w:val="NormalWeb"/>
        <w:spacing w:lineRule="auto" w:line="360" w:before="0" w:after="0"/>
        <w:rPr>
          <w:rFonts w:ascii="Arial" w:hAnsi="Arial"/>
        </w:rPr>
      </w:pPr>
      <w:r>
        <w:rPr>
          <w:rFonts w:cs="" w:ascii="Arial" w:hAnsi="Arial" w:cstheme="majorBidi"/>
        </w:rPr>
        <w:t>- PN-E-05204:1994 „Ochrona przed elektrycznością statyczną. Ochrona obiektów, instalacji i urządzeń. Wymagania”</w:t>
      </w:r>
    </w:p>
    <w:p>
      <w:pPr>
        <w:pStyle w:val="NormalWeb"/>
        <w:spacing w:lineRule="auto" w:line="360" w:before="0" w:after="0"/>
        <w:rPr>
          <w:rFonts w:ascii="Arial" w:hAnsi="Arial"/>
        </w:rPr>
      </w:pPr>
      <w:r>
        <w:rPr>
          <w:rFonts w:cs="" w:ascii="Arial" w:hAnsi="Arial" w:cstheme="majorBidi"/>
        </w:rPr>
        <w:t>- PN-E-05010:1991 „Zakresy napięciowe instalacji w obiektach budowlanych”</w:t>
      </w:r>
    </w:p>
    <w:p>
      <w:pPr>
        <w:pStyle w:val="NormalWeb"/>
        <w:spacing w:lineRule="auto" w:line="360" w:before="0" w:after="0"/>
        <w:rPr>
          <w:rFonts w:ascii="Arial" w:hAnsi="Arial"/>
        </w:rPr>
      </w:pPr>
      <w:r>
        <w:rPr>
          <w:rFonts w:cs="" w:ascii="Arial" w:hAnsi="Arial" w:cstheme="majorBidi"/>
        </w:rPr>
        <w:t>- PN-EN 60529:2003 „Stopnie ochrony zapewnianej przez obudowy (kod IP)”</w:t>
      </w:r>
    </w:p>
    <w:p>
      <w:pPr>
        <w:pStyle w:val="NormalWeb"/>
        <w:spacing w:lineRule="auto" w:line="360" w:before="0" w:after="0"/>
        <w:rPr>
          <w:rFonts w:ascii="Arial" w:hAnsi="Arial"/>
        </w:rPr>
      </w:pPr>
      <w:r>
        <w:rPr>
          <w:rFonts w:cs="" w:ascii="Arial" w:hAnsi="Arial" w:cstheme="majorBidi"/>
        </w:rPr>
        <w:t>- PN-EN 61140:2005 „Ochrona przed porażeniem prądem elektrycznym. Wspólne aspekty instalacji i urządzeń”</w:t>
      </w:r>
    </w:p>
    <w:p>
      <w:pPr>
        <w:pStyle w:val="NormalWeb"/>
        <w:spacing w:lineRule="auto" w:line="360" w:before="0" w:after="0"/>
        <w:rPr>
          <w:rFonts w:ascii="Arial" w:hAnsi="Arial"/>
        </w:rPr>
      </w:pPr>
      <w:r>
        <w:rPr>
          <w:rFonts w:cs="" w:ascii="Arial" w:hAnsi="Arial" w:cstheme="majorBidi"/>
        </w:rPr>
        <w:t>- PN-IEC 61239:2000 „Znakowanie urządzeń elektrycznych danymi znamionowymi dotyczącymi zasilania elektrycznego. Wymagania bezpieczeństwa”</w:t>
      </w:r>
    </w:p>
    <w:sectPr>
      <w:headerReference w:type="default" r:id="rId2"/>
      <w:type w:val="nextPage"/>
      <w:pgSz w:w="11906" w:h="16838"/>
      <w:pgMar w:left="1701" w:right="1418" w:gutter="0" w:header="720" w:top="1003" w:footer="0"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roman"/>
    <w:pitch w:val="variable"/>
  </w:font>
  <w:font w:name="Symbol">
    <w:charset w:val="ee"/>
    <w:family w:val="roman"/>
    <w:pitch w:val="variable"/>
  </w:font>
  <w:font w:name="Wingdings">
    <w:charset w:val="ee"/>
    <w:family w:val="roman"/>
    <w:pitch w:val="variable"/>
  </w:font>
  <w:font w:name="Courier New">
    <w:charset w:val="ee"/>
    <w:family w:val="roman"/>
    <w:pitch w:val="variable"/>
  </w:font>
  <w:font w:name="StarSymbol">
    <w:altName w:val="Arial Unicode MS"/>
    <w:charset w:val="ee"/>
    <w:family w:val="roman"/>
    <w:pitch w:val="variable"/>
  </w:font>
  <w:font w:name="Wingdings 2">
    <w:charset w:val="ee"/>
    <w:family w:val="roman"/>
    <w:pitch w:val="variable"/>
  </w:font>
  <w:font w:name="Tahoma">
    <w:charset w:val="ee"/>
    <w:family w:val="roman"/>
    <w:pitch w:val="variable"/>
  </w:font>
  <w:font w:name="Calibri">
    <w:charset w:val="ee"/>
    <w:family w:val="roman"/>
    <w:pitch w:val="variable"/>
  </w:font>
  <w:font w:name="Garamond">
    <w:charset w:val="ee"/>
    <w:family w:val="roman"/>
    <w:pitch w:val="variable"/>
  </w:font>
  <w:font w:name="Cambria">
    <w:charset w:val="ee"/>
    <w:family w:val="roman"/>
    <w:pitch w:val="variable"/>
  </w:font>
  <w:font w:name="Liberation Sans">
    <w:altName w:val="Arial"/>
    <w:charset w:val="ee"/>
    <w:family w:val="roman"/>
    <w:pitch w:val="variable"/>
  </w:font>
  <w:font w:name="Calibri Light">
    <w:charset w:val="ee"/>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b/>
        <w:sz w:val="20"/>
      </w:rPr>
    </w:pPr>
    <w:r>
      <w:rPr>
        <w:b/>
        <w:sz w:val="20"/>
      </w:rPr>
    </w:r>
  </w:p>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432"/>
        </w:tabs>
        <w:ind w:left="432" w:hanging="432"/>
      </w:pPr>
      <w:rPr>
        <w:rFonts w:ascii="Times New Roman" w:hAnsi="Times New Roman" w:cs="Times New Roman"/>
      </w:rPr>
    </w:lvl>
    <w:lvl w:ilvl="1">
      <w:start w:val="1"/>
      <w:numFmt w:val="decimal"/>
      <w:lvlText w:val="%1.%2"/>
      <w:lvlJc w:val="left"/>
      <w:pPr>
        <w:tabs>
          <w:tab w:val="num" w:pos="576"/>
        </w:tabs>
        <w:ind w:left="576" w:hanging="576"/>
      </w:pPr>
      <w:rPr/>
    </w:lvl>
    <w:lvl w:ilvl="2">
      <w:start w:val="1"/>
      <w:numFmt w:val="none"/>
      <w:suff w:val="nothing"/>
      <w:lvlText w:val="2"/>
      <w:lvlJc w:val="left"/>
      <w:pPr>
        <w:tabs>
          <w:tab w:val="num" w:pos="0"/>
        </w:tabs>
        <w:ind w:left="720" w:hanging="720"/>
      </w:pPr>
      <w:rPr/>
    </w:lvl>
    <w:lvl w:ilvl="3">
      <w:start w:val="1"/>
      <w:numFmt w:val="decimal"/>
      <w:lvlText w:val="%4."/>
      <w:lvlJc w:val="left"/>
      <w:pPr>
        <w:tabs>
          <w:tab w:val="num" w:pos="864"/>
        </w:tabs>
        <w:ind w:left="864" w:hanging="864"/>
      </w:pPr>
      <w:rPr/>
    </w:lvl>
    <w:lvl w:ilvl="4">
      <w:start w:val="1"/>
      <w:numFmt w:val="decimal"/>
      <w:lvlText w:val="%4.%5."/>
      <w:lvlJc w:val="left"/>
      <w:pPr>
        <w:tabs>
          <w:tab w:val="num" w:pos="1008"/>
        </w:tabs>
        <w:ind w:left="1008" w:hanging="1008"/>
      </w:pPr>
      <w:rPr/>
    </w:lvl>
    <w:lvl w:ilvl="5">
      <w:start w:val="1"/>
      <w:numFmt w:val="decimal"/>
      <w:lvlText w:val="%5.%6."/>
      <w:lvlJc w:val="left"/>
      <w:pPr>
        <w:tabs>
          <w:tab w:val="num" w:pos="1152"/>
        </w:tabs>
        <w:ind w:left="1152" w:hanging="1152"/>
      </w:pPr>
      <w:rPr/>
    </w:lvl>
    <w:lvl w:ilvl="6">
      <w:start w:val="1"/>
      <w:numFmt w:val="decimal"/>
      <w:lvlText w:val="%4.%5.%6.%7"/>
      <w:lvlJc w:val="left"/>
      <w:pPr>
        <w:tabs>
          <w:tab w:val="num" w:pos="1296"/>
        </w:tabs>
        <w:ind w:left="1296" w:hanging="1296"/>
      </w:pPr>
      <w:rPr/>
    </w:lvl>
    <w:lvl w:ilvl="7">
      <w:start w:val="1"/>
      <w:numFmt w:val="decimal"/>
      <w:lvlText w:val="%4.%5.%6.%7.%8"/>
      <w:lvlJc w:val="left"/>
      <w:pPr>
        <w:tabs>
          <w:tab w:val="num" w:pos="1440"/>
        </w:tabs>
        <w:ind w:left="1440" w:hanging="1440"/>
      </w:pPr>
      <w:rPr/>
    </w:lvl>
    <w:lvl w:ilvl="8">
      <w:start w:val="1"/>
      <w:numFmt w:val="decimal"/>
      <w:lvlText w:val="%4.%5.%6.%7.%8.%9"/>
      <w:lvlJc w:val="left"/>
      <w:pPr>
        <w:tabs>
          <w:tab w:val="num" w:pos="1584"/>
        </w:tabs>
        <w:ind w:left="1584" w:hanging="1584"/>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20"/>
  <w:defaultTabStop w:val="708"/>
  <w:autoHyphenation w:val="true"/>
  <w:hyphenationZone w:val="425"/>
  <w:compat>
    <w:doNotExpandShiftReturn/>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uiPriority="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0" w:qFormat="1"/>
  </w:latentStyles>
  <w:style w:type="paragraph" w:styleId="Normal" w:default="1">
    <w:name w:val="Normal"/>
    <w:qFormat/>
    <w:rsid w:val="00ab085d"/>
    <w:pPr>
      <w:widowControl/>
      <w:suppressAutoHyphens w:val="false"/>
      <w:bidi w:val="0"/>
      <w:spacing w:before="0" w:after="0"/>
      <w:jc w:val="left"/>
    </w:pPr>
    <w:rPr>
      <w:rFonts w:ascii="Times New Roman" w:hAnsi="Times New Roman" w:eastAsia="Times New Roman" w:cs="Times New Roman"/>
      <w:color w:val="auto"/>
      <w:kern w:val="0"/>
      <w:sz w:val="28"/>
      <w:szCs w:val="20"/>
      <w:lang w:val="pl-PL" w:eastAsia="ar-SA" w:bidi="ar-SA"/>
    </w:rPr>
  </w:style>
  <w:style w:type="paragraph" w:styleId="Heading1">
    <w:name w:val="Heading 1"/>
    <w:basedOn w:val="Normal"/>
    <w:next w:val="Normal"/>
    <w:link w:val="Nagwek1Znak"/>
    <w:qFormat/>
    <w:rsid w:val="00ab085d"/>
    <w:pPr>
      <w:keepNext w:val="true"/>
      <w:spacing w:before="240" w:after="60"/>
      <w:outlineLvl w:val="0"/>
    </w:pPr>
    <w:rPr>
      <w:rFonts w:ascii="Arial" w:hAnsi="Arial"/>
      <w:b/>
      <w:kern w:val="2"/>
    </w:rPr>
  </w:style>
  <w:style w:type="paragraph" w:styleId="Heading2">
    <w:name w:val="Heading 2"/>
    <w:basedOn w:val="Normal"/>
    <w:next w:val="Normal"/>
    <w:link w:val="Nagwek2Znak"/>
    <w:qFormat/>
    <w:rsid w:val="00ab085d"/>
    <w:pPr>
      <w:keepNext w:val="true"/>
      <w:spacing w:before="240" w:after="60"/>
      <w:outlineLvl w:val="1"/>
    </w:pPr>
    <w:rPr>
      <w:rFonts w:ascii="Arial" w:hAnsi="Arial"/>
      <w:b/>
      <w:i/>
      <w:sz w:val="22"/>
    </w:rPr>
  </w:style>
  <w:style w:type="paragraph" w:styleId="Heading3">
    <w:name w:val="Heading 3"/>
    <w:basedOn w:val="Normal"/>
    <w:next w:val="Normal"/>
    <w:link w:val="Nagwek3Znak"/>
    <w:qFormat/>
    <w:rsid w:val="00ab085d"/>
    <w:pPr>
      <w:keepNext w:val="true"/>
      <w:tabs>
        <w:tab w:val="clear" w:pos="708"/>
        <w:tab w:val="left" w:pos="720" w:leader="none"/>
      </w:tabs>
      <w:spacing w:before="240" w:after="60"/>
      <w:ind w:hanging="720" w:left="720"/>
      <w:outlineLvl w:val="2"/>
    </w:pPr>
    <w:rPr>
      <w:b/>
      <w:sz w:val="22"/>
    </w:rPr>
  </w:style>
  <w:style w:type="paragraph" w:styleId="Heading4">
    <w:name w:val="Heading 4"/>
    <w:basedOn w:val="Normal"/>
    <w:next w:val="Normal"/>
    <w:link w:val="Nagwek4Znak"/>
    <w:qFormat/>
    <w:rsid w:val="00ab085d"/>
    <w:pPr>
      <w:keepNext w:val="true"/>
      <w:tabs>
        <w:tab w:val="clear" w:pos="708"/>
        <w:tab w:val="left" w:pos="864" w:leader="none"/>
      </w:tabs>
      <w:ind w:hanging="864" w:left="864"/>
      <w:outlineLvl w:val="3"/>
    </w:pPr>
    <w:rPr>
      <w:b/>
    </w:rPr>
  </w:style>
  <w:style w:type="paragraph" w:styleId="Heading5">
    <w:name w:val="Heading 5"/>
    <w:basedOn w:val="Normal"/>
    <w:next w:val="Normal"/>
    <w:link w:val="Nagwek5Znak"/>
    <w:qFormat/>
    <w:rsid w:val="00ab085d"/>
    <w:pPr>
      <w:tabs>
        <w:tab w:val="clear" w:pos="708"/>
        <w:tab w:val="left" w:pos="1008" w:leader="none"/>
      </w:tabs>
      <w:spacing w:before="240" w:after="60"/>
      <w:ind w:hanging="1008" w:left="1008"/>
      <w:outlineLvl w:val="4"/>
    </w:pPr>
    <w:rPr>
      <w:rFonts w:ascii="Arial" w:hAnsi="Arial"/>
      <w:sz w:val="22"/>
      <w:lang w:val="fr-FR"/>
    </w:rPr>
  </w:style>
  <w:style w:type="paragraph" w:styleId="Heading6">
    <w:name w:val="Heading 6"/>
    <w:basedOn w:val="Normal"/>
    <w:next w:val="Normal"/>
    <w:link w:val="Nagwek6Znak"/>
    <w:qFormat/>
    <w:rsid w:val="00ab085d"/>
    <w:pPr>
      <w:tabs>
        <w:tab w:val="clear" w:pos="708"/>
        <w:tab w:val="left" w:pos="1152" w:leader="none"/>
      </w:tabs>
      <w:spacing w:before="240" w:after="60"/>
      <w:ind w:hanging="1152" w:left="1152"/>
      <w:outlineLvl w:val="5"/>
    </w:pPr>
    <w:rPr>
      <w:rFonts w:ascii="Arial" w:hAnsi="Arial"/>
      <w:i/>
      <w:sz w:val="22"/>
      <w:lang w:val="fr-FR"/>
    </w:rPr>
  </w:style>
  <w:style w:type="paragraph" w:styleId="Heading7">
    <w:name w:val="Heading 7"/>
    <w:basedOn w:val="Normal"/>
    <w:next w:val="Normal"/>
    <w:link w:val="Nagwek7Znak"/>
    <w:qFormat/>
    <w:rsid w:val="00ab085d"/>
    <w:pPr>
      <w:tabs>
        <w:tab w:val="clear" w:pos="708"/>
        <w:tab w:val="left" w:pos="1296" w:leader="none"/>
      </w:tabs>
      <w:spacing w:before="240" w:after="60"/>
      <w:ind w:hanging="1296" w:left="1296"/>
      <w:outlineLvl w:val="6"/>
    </w:pPr>
    <w:rPr>
      <w:rFonts w:ascii="Arial" w:hAnsi="Arial"/>
      <w:sz w:val="20"/>
      <w:lang w:val="fr-FR"/>
    </w:rPr>
  </w:style>
  <w:style w:type="paragraph" w:styleId="Heading8">
    <w:name w:val="Heading 8"/>
    <w:basedOn w:val="Normal"/>
    <w:next w:val="Normal"/>
    <w:link w:val="Nagwek8Znak"/>
    <w:qFormat/>
    <w:rsid w:val="00ab085d"/>
    <w:pPr>
      <w:tabs>
        <w:tab w:val="clear" w:pos="708"/>
        <w:tab w:val="left" w:pos="1440" w:leader="none"/>
      </w:tabs>
      <w:spacing w:before="240" w:after="60"/>
      <w:ind w:hanging="1440" w:left="1440"/>
      <w:outlineLvl w:val="7"/>
    </w:pPr>
    <w:rPr>
      <w:rFonts w:ascii="Arial" w:hAnsi="Arial"/>
      <w:i/>
      <w:sz w:val="20"/>
      <w:lang w:val="fr-FR"/>
    </w:rPr>
  </w:style>
  <w:style w:type="paragraph" w:styleId="Heading9">
    <w:name w:val="Heading 9"/>
    <w:basedOn w:val="Normal"/>
    <w:next w:val="Normal"/>
    <w:link w:val="Nagwek9Znak"/>
    <w:qFormat/>
    <w:rsid w:val="00ab085d"/>
    <w:pPr>
      <w:tabs>
        <w:tab w:val="clear" w:pos="708"/>
        <w:tab w:val="left" w:pos="1584" w:leader="none"/>
      </w:tabs>
      <w:spacing w:before="240" w:after="60"/>
      <w:ind w:hanging="1584" w:left="1584"/>
      <w:outlineLvl w:val="8"/>
    </w:pPr>
    <w:rPr>
      <w:rFonts w:ascii="Arial" w:hAnsi="Arial"/>
      <w:i/>
      <w:sz w:val="18"/>
      <w:lang w:val="fr-FR"/>
    </w:rPr>
  </w:style>
  <w:style w:type="character" w:styleId="DefaultParagraphFont" w:default="1">
    <w:name w:val="Default Paragraph Font"/>
    <w:uiPriority w:val="1"/>
    <w:semiHidden/>
    <w:unhideWhenUsed/>
    <w:qFormat/>
    <w:rPr/>
  </w:style>
  <w:style w:type="character" w:styleId="WW8Num1z0" w:customStyle="1">
    <w:name w:val="WW8Num1z0"/>
    <w:qFormat/>
    <w:rsid w:val="00ab085d"/>
    <w:rPr>
      <w:rFonts w:ascii="Times New Roman" w:hAnsi="Times New Roman" w:cs="Times New Roman"/>
    </w:rPr>
  </w:style>
  <w:style w:type="character" w:styleId="WW8Num3z0" w:customStyle="1">
    <w:name w:val="WW8Num3z0"/>
    <w:qFormat/>
    <w:rsid w:val="00ab085d"/>
    <w:rPr>
      <w:rFonts w:ascii="Symbol" w:hAnsi="Symbol"/>
    </w:rPr>
  </w:style>
  <w:style w:type="character" w:styleId="WW8Num4z0" w:customStyle="1">
    <w:name w:val="WW8Num4z0"/>
    <w:qFormat/>
    <w:rsid w:val="00ab085d"/>
    <w:rPr>
      <w:rFonts w:ascii="Symbol" w:hAnsi="Symbol"/>
    </w:rPr>
  </w:style>
  <w:style w:type="character" w:styleId="WW8Num6z0" w:customStyle="1">
    <w:name w:val="WW8Num6z0"/>
    <w:qFormat/>
    <w:rsid w:val="00ab085d"/>
    <w:rPr>
      <w:rFonts w:ascii="Symbol" w:hAnsi="Symbol" w:cs="Times New Roman"/>
    </w:rPr>
  </w:style>
  <w:style w:type="character" w:styleId="WW8Num9z0" w:customStyle="1">
    <w:name w:val="WW8Num9z0"/>
    <w:qFormat/>
    <w:rsid w:val="00ab085d"/>
    <w:rPr>
      <w:rFonts w:ascii="Symbol" w:hAnsi="Symbol"/>
    </w:rPr>
  </w:style>
  <w:style w:type="character" w:styleId="WW8Num10z0" w:customStyle="1">
    <w:name w:val="WW8Num10z0"/>
    <w:qFormat/>
    <w:rsid w:val="00ab085d"/>
    <w:rPr>
      <w:rFonts w:ascii="Times New Roman" w:hAnsi="Times New Roman" w:cs="Times New Roman"/>
    </w:rPr>
  </w:style>
  <w:style w:type="character" w:styleId="WW8Num12z0" w:customStyle="1">
    <w:name w:val="WW8Num12z0"/>
    <w:qFormat/>
    <w:rsid w:val="00ab085d"/>
    <w:rPr>
      <w:rFonts w:ascii="Times New Roman" w:hAnsi="Times New Roman"/>
    </w:rPr>
  </w:style>
  <w:style w:type="character" w:styleId="WW8Num12z2" w:customStyle="1">
    <w:name w:val="WW8Num12z2"/>
    <w:qFormat/>
    <w:rsid w:val="00ab085d"/>
    <w:rPr>
      <w:rFonts w:ascii="Wingdings" w:hAnsi="Wingdings"/>
    </w:rPr>
  </w:style>
  <w:style w:type="character" w:styleId="WW8Num12z3" w:customStyle="1">
    <w:name w:val="WW8Num12z3"/>
    <w:qFormat/>
    <w:rsid w:val="00ab085d"/>
    <w:rPr>
      <w:rFonts w:ascii="Symbol" w:hAnsi="Symbol"/>
    </w:rPr>
  </w:style>
  <w:style w:type="character" w:styleId="WW8Num12z4" w:customStyle="1">
    <w:name w:val="WW8Num12z4"/>
    <w:qFormat/>
    <w:rsid w:val="00ab085d"/>
    <w:rPr>
      <w:rFonts w:ascii="Courier New" w:hAnsi="Courier New"/>
    </w:rPr>
  </w:style>
  <w:style w:type="character" w:styleId="WW8Num13z0" w:customStyle="1">
    <w:name w:val="WW8Num13z0"/>
    <w:qFormat/>
    <w:rsid w:val="00ab085d"/>
    <w:rPr>
      <w:rFonts w:ascii="StarSymbol" w:hAnsi="StarSymbol"/>
    </w:rPr>
  </w:style>
  <w:style w:type="character" w:styleId="WW8Num14z0" w:customStyle="1">
    <w:name w:val="WW8Num14z0"/>
    <w:qFormat/>
    <w:rsid w:val="00ab085d"/>
    <w:rPr>
      <w:rFonts w:ascii="Symbol" w:hAnsi="Symbol"/>
    </w:rPr>
  </w:style>
  <w:style w:type="character" w:styleId="WW8Num15z0" w:customStyle="1">
    <w:name w:val="WW8Num15z0"/>
    <w:qFormat/>
    <w:rsid w:val="00ab085d"/>
    <w:rPr>
      <w:rFonts w:ascii="Symbol" w:hAnsi="Symbol"/>
    </w:rPr>
  </w:style>
  <w:style w:type="character" w:styleId="WW8Num16z0" w:customStyle="1">
    <w:name w:val="WW8Num16z0"/>
    <w:qFormat/>
    <w:rsid w:val="00ab085d"/>
    <w:rPr>
      <w:rFonts w:ascii="Times New Roman" w:hAnsi="Times New Roman" w:cs="Times New Roman"/>
      <w:color w:val="auto"/>
      <w:sz w:val="16"/>
    </w:rPr>
  </w:style>
  <w:style w:type="character" w:styleId="WW8Num16z2" w:customStyle="1">
    <w:name w:val="WW8Num16z2"/>
    <w:qFormat/>
    <w:rsid w:val="00ab085d"/>
    <w:rPr>
      <w:rFonts w:ascii="Wingdings" w:hAnsi="Wingdings"/>
    </w:rPr>
  </w:style>
  <w:style w:type="character" w:styleId="WW8Num16z3" w:customStyle="1">
    <w:name w:val="WW8Num16z3"/>
    <w:qFormat/>
    <w:rsid w:val="00ab085d"/>
    <w:rPr>
      <w:rFonts w:ascii="Symbol" w:hAnsi="Symbol"/>
    </w:rPr>
  </w:style>
  <w:style w:type="character" w:styleId="WW8Num16z4" w:customStyle="1">
    <w:name w:val="WW8Num16z4"/>
    <w:qFormat/>
    <w:rsid w:val="00ab085d"/>
    <w:rPr>
      <w:rFonts w:ascii="Courier New" w:hAnsi="Courier New"/>
    </w:rPr>
  </w:style>
  <w:style w:type="character" w:styleId="WW8Num17z0" w:customStyle="1">
    <w:name w:val="WW8Num17z0"/>
    <w:qFormat/>
    <w:rsid w:val="00ab085d"/>
    <w:rPr>
      <w:rFonts w:ascii="Symbol" w:hAnsi="Symbol"/>
    </w:rPr>
  </w:style>
  <w:style w:type="character" w:styleId="WW8Num18z0" w:customStyle="1">
    <w:name w:val="WW8Num18z0"/>
    <w:qFormat/>
    <w:rsid w:val="00ab085d"/>
    <w:rPr>
      <w:rFonts w:ascii="Times New Roman" w:hAnsi="Times New Roman" w:cs="Times New Roman"/>
    </w:rPr>
  </w:style>
  <w:style w:type="character" w:styleId="WW8Num18z1" w:customStyle="1">
    <w:name w:val="WW8Num18z1"/>
    <w:qFormat/>
    <w:rsid w:val="00ab085d"/>
    <w:rPr>
      <w:rFonts w:ascii="Courier New" w:hAnsi="Courier New" w:cs="Courier New"/>
    </w:rPr>
  </w:style>
  <w:style w:type="character" w:styleId="WW8Num18z2" w:customStyle="1">
    <w:name w:val="WW8Num18z2"/>
    <w:qFormat/>
    <w:rsid w:val="00ab085d"/>
    <w:rPr>
      <w:rFonts w:ascii="Wingdings" w:hAnsi="Wingdings"/>
    </w:rPr>
  </w:style>
  <w:style w:type="character" w:styleId="WW8Num20z0" w:customStyle="1">
    <w:name w:val="WW8Num20z0"/>
    <w:qFormat/>
    <w:rsid w:val="00ab085d"/>
    <w:rPr>
      <w:sz w:val="28"/>
    </w:rPr>
  </w:style>
  <w:style w:type="character" w:styleId="WW8Num21z0" w:customStyle="1">
    <w:name w:val="WW8Num21z0"/>
    <w:qFormat/>
    <w:rsid w:val="00ab085d"/>
    <w:rPr>
      <w:rFonts w:ascii="Symbol" w:hAnsi="Symbol"/>
    </w:rPr>
  </w:style>
  <w:style w:type="character" w:styleId="WW8Num21z1" w:customStyle="1">
    <w:name w:val="WW8Num21z1"/>
    <w:qFormat/>
    <w:rsid w:val="00ab085d"/>
    <w:rPr>
      <w:rFonts w:ascii="Courier New" w:hAnsi="Courier New"/>
    </w:rPr>
  </w:style>
  <w:style w:type="character" w:styleId="WW8Num21z2" w:customStyle="1">
    <w:name w:val="WW8Num21z2"/>
    <w:qFormat/>
    <w:rsid w:val="00ab085d"/>
    <w:rPr>
      <w:rFonts w:ascii="Wingdings" w:hAnsi="Wingdings"/>
    </w:rPr>
  </w:style>
  <w:style w:type="character" w:styleId="WW8Num22z0" w:customStyle="1">
    <w:name w:val="WW8Num22z0"/>
    <w:qFormat/>
    <w:rsid w:val="00ab085d"/>
    <w:rPr>
      <w:rFonts w:ascii="Times New Roman" w:hAnsi="Times New Roman" w:cs="Times New Roman"/>
      <w:color w:val="auto"/>
      <w:sz w:val="16"/>
    </w:rPr>
  </w:style>
  <w:style w:type="character" w:styleId="WW8Num22z1" w:customStyle="1">
    <w:name w:val="WW8Num22z1"/>
    <w:qFormat/>
    <w:rsid w:val="00ab085d"/>
    <w:rPr>
      <w:rFonts w:ascii="Courier New" w:hAnsi="Courier New"/>
    </w:rPr>
  </w:style>
  <w:style w:type="character" w:styleId="WW8Num22z2" w:customStyle="1">
    <w:name w:val="WW8Num22z2"/>
    <w:qFormat/>
    <w:rsid w:val="00ab085d"/>
    <w:rPr>
      <w:rFonts w:ascii="Wingdings" w:hAnsi="Wingdings"/>
    </w:rPr>
  </w:style>
  <w:style w:type="character" w:styleId="Domylnaczcionkaakapitu2" w:customStyle="1">
    <w:name w:val="Domyślna czcionka akapitu2"/>
    <w:qFormat/>
    <w:rsid w:val="00ab085d"/>
    <w:rPr/>
  </w:style>
  <w:style w:type="character" w:styleId="Absatz-Standardschriftart" w:customStyle="1">
    <w:name w:val="Absatz-Standardschriftart"/>
    <w:qFormat/>
    <w:rsid w:val="00ab085d"/>
    <w:rPr/>
  </w:style>
  <w:style w:type="character" w:styleId="WW8Num20z1" w:customStyle="1">
    <w:name w:val="WW8Num20z1"/>
    <w:qFormat/>
    <w:rsid w:val="00ab085d"/>
    <w:rPr>
      <w:rFonts w:ascii="Wingdings 2" w:hAnsi="Wingdings 2" w:cs="StarSymbol"/>
      <w:sz w:val="18"/>
      <w:szCs w:val="18"/>
    </w:rPr>
  </w:style>
  <w:style w:type="character" w:styleId="WW-Absatz-Standardschriftart" w:customStyle="1">
    <w:name w:val="WW-Absatz-Standardschriftart"/>
    <w:qFormat/>
    <w:rsid w:val="00ab085d"/>
    <w:rPr/>
  </w:style>
  <w:style w:type="character" w:styleId="WW-Absatz-Standardschriftart1" w:customStyle="1">
    <w:name w:val="WW-Absatz-Standardschriftart1"/>
    <w:qFormat/>
    <w:rsid w:val="00ab085d"/>
    <w:rPr/>
  </w:style>
  <w:style w:type="character" w:styleId="WW-Absatz-Standardschriftart11" w:customStyle="1">
    <w:name w:val="WW-Absatz-Standardschriftart11"/>
    <w:qFormat/>
    <w:rsid w:val="00ab085d"/>
    <w:rPr/>
  </w:style>
  <w:style w:type="character" w:styleId="WW-Absatz-Standardschriftart111" w:customStyle="1">
    <w:name w:val="WW-Absatz-Standardschriftart111"/>
    <w:qFormat/>
    <w:rsid w:val="00ab085d"/>
    <w:rPr/>
  </w:style>
  <w:style w:type="character" w:styleId="WW8Num13z2" w:customStyle="1">
    <w:name w:val="WW8Num13z2"/>
    <w:qFormat/>
    <w:rsid w:val="00ab085d"/>
    <w:rPr>
      <w:rFonts w:ascii="Wingdings" w:hAnsi="Wingdings"/>
    </w:rPr>
  </w:style>
  <w:style w:type="character" w:styleId="WW8Num13z3" w:customStyle="1">
    <w:name w:val="WW8Num13z3"/>
    <w:qFormat/>
    <w:rsid w:val="00ab085d"/>
    <w:rPr>
      <w:rFonts w:ascii="Symbol" w:hAnsi="Symbol"/>
    </w:rPr>
  </w:style>
  <w:style w:type="character" w:styleId="WW8Num13z4" w:customStyle="1">
    <w:name w:val="WW8Num13z4"/>
    <w:qFormat/>
    <w:rsid w:val="00ab085d"/>
    <w:rPr>
      <w:rFonts w:ascii="Courier New" w:hAnsi="Courier New"/>
    </w:rPr>
  </w:style>
  <w:style w:type="character" w:styleId="WW8Num17z2" w:customStyle="1">
    <w:name w:val="WW8Num17z2"/>
    <w:qFormat/>
    <w:rsid w:val="00ab085d"/>
    <w:rPr>
      <w:rFonts w:ascii="Wingdings" w:hAnsi="Wingdings"/>
    </w:rPr>
  </w:style>
  <w:style w:type="character" w:styleId="WW8Num17z3" w:customStyle="1">
    <w:name w:val="WW8Num17z3"/>
    <w:qFormat/>
    <w:rsid w:val="00ab085d"/>
    <w:rPr>
      <w:rFonts w:ascii="Symbol" w:hAnsi="Symbol"/>
    </w:rPr>
  </w:style>
  <w:style w:type="character" w:styleId="WW8Num17z4" w:customStyle="1">
    <w:name w:val="WW8Num17z4"/>
    <w:qFormat/>
    <w:rsid w:val="00ab085d"/>
    <w:rPr>
      <w:rFonts w:ascii="Courier New" w:hAnsi="Courier New"/>
    </w:rPr>
  </w:style>
  <w:style w:type="character" w:styleId="WW8Num19z0" w:customStyle="1">
    <w:name w:val="WW8Num19z0"/>
    <w:qFormat/>
    <w:rsid w:val="00ab085d"/>
    <w:rPr>
      <w:rFonts w:ascii="Symbol" w:hAnsi="Symbol"/>
    </w:rPr>
  </w:style>
  <w:style w:type="character" w:styleId="WW8Num20z2" w:customStyle="1">
    <w:name w:val="WW8Num20z2"/>
    <w:qFormat/>
    <w:rsid w:val="00ab085d"/>
    <w:rPr>
      <w:rFonts w:ascii="StarSymbol" w:hAnsi="StarSymbol" w:cs="StarSymbol"/>
      <w:sz w:val="18"/>
      <w:szCs w:val="18"/>
    </w:rPr>
  </w:style>
  <w:style w:type="character" w:styleId="WW-Absatz-Standardschriftart1111" w:customStyle="1">
    <w:name w:val="WW-Absatz-Standardschriftart1111"/>
    <w:qFormat/>
    <w:rsid w:val="00ab085d"/>
    <w:rPr/>
  </w:style>
  <w:style w:type="character" w:styleId="WW-Absatz-Standardschriftart11111" w:customStyle="1">
    <w:name w:val="WW-Absatz-Standardschriftart11111"/>
    <w:qFormat/>
    <w:rsid w:val="00ab085d"/>
    <w:rPr/>
  </w:style>
  <w:style w:type="character" w:styleId="WW-Absatz-Standardschriftart111111" w:customStyle="1">
    <w:name w:val="WW-Absatz-Standardschriftart111111"/>
    <w:qFormat/>
    <w:rsid w:val="00ab085d"/>
    <w:rPr/>
  </w:style>
  <w:style w:type="character" w:styleId="WW-Absatz-Standardschriftart1111111" w:customStyle="1">
    <w:name w:val="WW-Absatz-Standardschriftart1111111"/>
    <w:qFormat/>
    <w:rsid w:val="00ab085d"/>
    <w:rPr/>
  </w:style>
  <w:style w:type="character" w:styleId="WW-Absatz-Standardschriftart11111111" w:customStyle="1">
    <w:name w:val="WW-Absatz-Standardschriftart11111111"/>
    <w:qFormat/>
    <w:rsid w:val="00ab085d"/>
    <w:rPr/>
  </w:style>
  <w:style w:type="character" w:styleId="WW-Absatz-Standardschriftart111111111" w:customStyle="1">
    <w:name w:val="WW-Absatz-Standardschriftart111111111"/>
    <w:qFormat/>
    <w:rsid w:val="00ab085d"/>
    <w:rPr/>
  </w:style>
  <w:style w:type="character" w:styleId="WW-Absatz-Standardschriftart1111111111" w:customStyle="1">
    <w:name w:val="WW-Absatz-Standardschriftart1111111111"/>
    <w:qFormat/>
    <w:rsid w:val="00ab085d"/>
    <w:rPr/>
  </w:style>
  <w:style w:type="character" w:styleId="WW-Absatz-Standardschriftart11111111111" w:customStyle="1">
    <w:name w:val="WW-Absatz-Standardschriftart11111111111"/>
    <w:qFormat/>
    <w:rsid w:val="00ab085d"/>
    <w:rPr/>
  </w:style>
  <w:style w:type="character" w:styleId="WW-Absatz-Standardschriftart111111111111" w:customStyle="1">
    <w:name w:val="WW-Absatz-Standardschriftart111111111111"/>
    <w:qFormat/>
    <w:rsid w:val="00ab085d"/>
    <w:rPr/>
  </w:style>
  <w:style w:type="character" w:styleId="WW-Absatz-Standardschriftart1111111111111" w:customStyle="1">
    <w:name w:val="WW-Absatz-Standardschriftart1111111111111"/>
    <w:qFormat/>
    <w:rsid w:val="00ab085d"/>
    <w:rPr/>
  </w:style>
  <w:style w:type="character" w:styleId="WW-Absatz-Standardschriftart11111111111111" w:customStyle="1">
    <w:name w:val="WW-Absatz-Standardschriftart11111111111111"/>
    <w:qFormat/>
    <w:rsid w:val="00ab085d"/>
    <w:rPr/>
  </w:style>
  <w:style w:type="character" w:styleId="WW-Absatz-Standardschriftart111111111111111" w:customStyle="1">
    <w:name w:val="WW-Absatz-Standardschriftart111111111111111"/>
    <w:qFormat/>
    <w:rsid w:val="00ab085d"/>
    <w:rPr/>
  </w:style>
  <w:style w:type="character" w:styleId="WW8Num19z1" w:customStyle="1">
    <w:name w:val="WW8Num19z1"/>
    <w:qFormat/>
    <w:rsid w:val="00ab085d"/>
    <w:rPr>
      <w:rFonts w:ascii="Symbol" w:hAnsi="Symbol"/>
    </w:rPr>
  </w:style>
  <w:style w:type="character" w:styleId="WW-Absatz-Standardschriftart1111111111111111" w:customStyle="1">
    <w:name w:val="WW-Absatz-Standardschriftart1111111111111111"/>
    <w:qFormat/>
    <w:rsid w:val="00ab085d"/>
    <w:rPr/>
  </w:style>
  <w:style w:type="character" w:styleId="WW-Absatz-Standardschriftart11111111111111111" w:customStyle="1">
    <w:name w:val="WW-Absatz-Standardschriftart11111111111111111"/>
    <w:qFormat/>
    <w:rsid w:val="00ab085d"/>
    <w:rPr/>
  </w:style>
  <w:style w:type="character" w:styleId="WW-Absatz-Standardschriftart111111111111111111" w:customStyle="1">
    <w:name w:val="WW-Absatz-Standardschriftart111111111111111111"/>
    <w:qFormat/>
    <w:rsid w:val="00ab085d"/>
    <w:rPr/>
  </w:style>
  <w:style w:type="character" w:styleId="WW-Absatz-Standardschriftart1111111111111111111" w:customStyle="1">
    <w:name w:val="WW-Absatz-Standardschriftart1111111111111111111"/>
    <w:qFormat/>
    <w:rsid w:val="00ab085d"/>
    <w:rPr/>
  </w:style>
  <w:style w:type="character" w:styleId="WW8Num5z0" w:customStyle="1">
    <w:name w:val="WW8Num5z0"/>
    <w:qFormat/>
    <w:rsid w:val="00ab085d"/>
    <w:rPr>
      <w:rFonts w:ascii="StarSymbol" w:hAnsi="StarSymbol"/>
    </w:rPr>
  </w:style>
  <w:style w:type="character" w:styleId="WW8Num7z0" w:customStyle="1">
    <w:name w:val="WW8Num7z0"/>
    <w:qFormat/>
    <w:rsid w:val="00ab085d"/>
    <w:rPr>
      <w:rFonts w:ascii="Times New Roman" w:hAnsi="Times New Roman" w:eastAsia="Times New Roman" w:cs="Times New Roman"/>
    </w:rPr>
  </w:style>
  <w:style w:type="character" w:styleId="WW8Num11z0" w:customStyle="1">
    <w:name w:val="WW8Num11z0"/>
    <w:qFormat/>
    <w:rsid w:val="00ab085d"/>
    <w:rPr>
      <w:rFonts w:ascii="Symbol" w:hAnsi="Symbol"/>
    </w:rPr>
  </w:style>
  <w:style w:type="character" w:styleId="WW8Num14z2" w:customStyle="1">
    <w:name w:val="WW8Num14z2"/>
    <w:qFormat/>
    <w:rsid w:val="00ab085d"/>
    <w:rPr>
      <w:rFonts w:ascii="Wingdings" w:hAnsi="Wingdings"/>
    </w:rPr>
  </w:style>
  <w:style w:type="character" w:styleId="WW8Num14z3" w:customStyle="1">
    <w:name w:val="WW8Num14z3"/>
    <w:qFormat/>
    <w:rsid w:val="00ab085d"/>
    <w:rPr>
      <w:rFonts w:ascii="Symbol" w:hAnsi="Symbol"/>
    </w:rPr>
  </w:style>
  <w:style w:type="character" w:styleId="WW8Num14z4" w:customStyle="1">
    <w:name w:val="WW8Num14z4"/>
    <w:qFormat/>
    <w:rsid w:val="00ab085d"/>
    <w:rPr>
      <w:rFonts w:ascii="Courier New" w:hAnsi="Courier New"/>
    </w:rPr>
  </w:style>
  <w:style w:type="character" w:styleId="WW8Num18z3" w:customStyle="1">
    <w:name w:val="WW8Num18z3"/>
    <w:qFormat/>
    <w:rsid w:val="00ab085d"/>
    <w:rPr>
      <w:rFonts w:ascii="Symbol" w:hAnsi="Symbol"/>
    </w:rPr>
  </w:style>
  <w:style w:type="character" w:styleId="WW8Num18z4" w:customStyle="1">
    <w:name w:val="WW8Num18z4"/>
    <w:qFormat/>
    <w:rsid w:val="00ab085d"/>
    <w:rPr>
      <w:rFonts w:ascii="Courier New" w:hAnsi="Courier New"/>
    </w:rPr>
  </w:style>
  <w:style w:type="character" w:styleId="WW-Absatz-Standardschriftart11111111111111111111" w:customStyle="1">
    <w:name w:val="WW-Absatz-Standardschriftart11111111111111111111"/>
    <w:qFormat/>
    <w:rsid w:val="00ab085d"/>
    <w:rPr/>
  </w:style>
  <w:style w:type="character" w:styleId="WW8Num8z0" w:customStyle="1">
    <w:name w:val="WW8Num8z0"/>
    <w:qFormat/>
    <w:rsid w:val="00ab085d"/>
    <w:rPr>
      <w:rFonts w:ascii="Symbol" w:hAnsi="Symbol"/>
    </w:rPr>
  </w:style>
  <w:style w:type="character" w:styleId="WW8Num22z3" w:customStyle="1">
    <w:name w:val="WW8Num22z3"/>
    <w:qFormat/>
    <w:rsid w:val="00ab085d"/>
    <w:rPr>
      <w:rFonts w:ascii="Symbol" w:hAnsi="Symbol"/>
    </w:rPr>
  </w:style>
  <w:style w:type="character" w:styleId="WW8Num23z0" w:customStyle="1">
    <w:name w:val="WW8Num23z0"/>
    <w:qFormat/>
    <w:rsid w:val="00ab085d"/>
    <w:rPr>
      <w:rFonts w:ascii="Times New Roman" w:hAnsi="Times New Roman" w:eastAsia="Times New Roman" w:cs="Times New Roman"/>
    </w:rPr>
  </w:style>
  <w:style w:type="character" w:styleId="WW8Num23z1" w:customStyle="1">
    <w:name w:val="WW8Num23z1"/>
    <w:qFormat/>
    <w:rsid w:val="00ab085d"/>
    <w:rPr>
      <w:rFonts w:ascii="Courier New" w:hAnsi="Courier New"/>
    </w:rPr>
  </w:style>
  <w:style w:type="character" w:styleId="WW8Num23z2" w:customStyle="1">
    <w:name w:val="WW8Num23z2"/>
    <w:qFormat/>
    <w:rsid w:val="00ab085d"/>
    <w:rPr>
      <w:rFonts w:ascii="Wingdings" w:hAnsi="Wingdings"/>
    </w:rPr>
  </w:style>
  <w:style w:type="character" w:styleId="WW8Num24z0" w:customStyle="1">
    <w:name w:val="WW8Num24z0"/>
    <w:qFormat/>
    <w:rsid w:val="00ab085d"/>
    <w:rPr>
      <w:rFonts w:ascii="Times New Roman" w:hAnsi="Times New Roman" w:eastAsia="Times New Roman" w:cs="Times New Roman"/>
    </w:rPr>
  </w:style>
  <w:style w:type="character" w:styleId="WW8Num24z2" w:customStyle="1">
    <w:name w:val="WW8Num24z2"/>
    <w:qFormat/>
    <w:rsid w:val="00ab085d"/>
    <w:rPr>
      <w:rFonts w:ascii="Wingdings" w:hAnsi="Wingdings"/>
    </w:rPr>
  </w:style>
  <w:style w:type="character" w:styleId="WW8Num24z3" w:customStyle="1">
    <w:name w:val="WW8Num24z3"/>
    <w:qFormat/>
    <w:rsid w:val="00ab085d"/>
    <w:rPr>
      <w:rFonts w:ascii="Symbol" w:hAnsi="Symbol"/>
    </w:rPr>
  </w:style>
  <w:style w:type="character" w:styleId="WW8Num24z4" w:customStyle="1">
    <w:name w:val="WW8Num24z4"/>
    <w:qFormat/>
    <w:rsid w:val="00ab085d"/>
    <w:rPr>
      <w:rFonts w:ascii="Courier New" w:hAnsi="Courier New"/>
    </w:rPr>
  </w:style>
  <w:style w:type="character" w:styleId="Domylnaczcionkaakapitu1" w:customStyle="1">
    <w:name w:val="Domyślna czcionka akapitu1"/>
    <w:qFormat/>
    <w:rsid w:val="00ab085d"/>
    <w:rPr/>
  </w:style>
  <w:style w:type="character" w:styleId="WW-Absatz-Standardschriftart111111111111111111111" w:customStyle="1">
    <w:name w:val="WW-Absatz-Standardschriftart111111111111111111111"/>
    <w:qFormat/>
    <w:rsid w:val="00ab085d"/>
    <w:rPr/>
  </w:style>
  <w:style w:type="character" w:styleId="WW8Num7z1" w:customStyle="1">
    <w:name w:val="WW8Num7z1"/>
    <w:qFormat/>
    <w:rsid w:val="00ab085d"/>
    <w:rPr>
      <w:rFonts w:ascii="Courier New" w:hAnsi="Courier New"/>
    </w:rPr>
  </w:style>
  <w:style w:type="character" w:styleId="WW8Num7z2" w:customStyle="1">
    <w:name w:val="WW8Num7z2"/>
    <w:qFormat/>
    <w:rsid w:val="00ab085d"/>
    <w:rPr>
      <w:rFonts w:ascii="Wingdings" w:hAnsi="Wingdings"/>
    </w:rPr>
  </w:style>
  <w:style w:type="character" w:styleId="WW8Num7z3" w:customStyle="1">
    <w:name w:val="WW8Num7z3"/>
    <w:qFormat/>
    <w:rsid w:val="00ab085d"/>
    <w:rPr>
      <w:rFonts w:ascii="Symbol" w:hAnsi="Symbol"/>
    </w:rPr>
  </w:style>
  <w:style w:type="character" w:styleId="WW-WW8Num9z0" w:customStyle="1">
    <w:name w:val="WW-WW8Num9z0"/>
    <w:qFormat/>
    <w:rsid w:val="00ab085d"/>
    <w:rPr>
      <w:sz w:val="28"/>
    </w:rPr>
  </w:style>
  <w:style w:type="character" w:styleId="WW-WW8Num10z0" w:customStyle="1">
    <w:name w:val="WW-WW8Num10z0"/>
    <w:qFormat/>
    <w:rsid w:val="00ab085d"/>
    <w:rPr>
      <w:rFonts w:ascii="Symbol" w:hAnsi="Symbol"/>
    </w:rPr>
  </w:style>
  <w:style w:type="character" w:styleId="WW8Num10z1" w:customStyle="1">
    <w:name w:val="WW8Num10z1"/>
    <w:qFormat/>
    <w:rsid w:val="00ab085d"/>
    <w:rPr>
      <w:rFonts w:ascii="Courier New" w:hAnsi="Courier New" w:cs="Courier New"/>
    </w:rPr>
  </w:style>
  <w:style w:type="character" w:styleId="WW8Num10z2" w:customStyle="1">
    <w:name w:val="WW8Num10z2"/>
    <w:qFormat/>
    <w:rsid w:val="00ab085d"/>
    <w:rPr>
      <w:rFonts w:ascii="Wingdings" w:hAnsi="Wingdings"/>
    </w:rPr>
  </w:style>
  <w:style w:type="character" w:styleId="WW8Num11z1" w:customStyle="1">
    <w:name w:val="WW8Num11z1"/>
    <w:qFormat/>
    <w:rsid w:val="00ab085d"/>
    <w:rPr>
      <w:rFonts w:ascii="Courier New" w:hAnsi="Courier New" w:cs="Courier New"/>
    </w:rPr>
  </w:style>
  <w:style w:type="character" w:styleId="WW8Num11z2" w:customStyle="1">
    <w:name w:val="WW8Num11z2"/>
    <w:qFormat/>
    <w:rsid w:val="00ab085d"/>
    <w:rPr>
      <w:rFonts w:ascii="Wingdings" w:hAnsi="Wingdings"/>
    </w:rPr>
  </w:style>
  <w:style w:type="character" w:styleId="WW8Num17z1" w:customStyle="1">
    <w:name w:val="WW8Num17z1"/>
    <w:qFormat/>
    <w:rsid w:val="00ab085d"/>
    <w:rPr>
      <w:rFonts w:ascii="Courier New" w:hAnsi="Courier New" w:cs="Courier New"/>
    </w:rPr>
  </w:style>
  <w:style w:type="character" w:styleId="WW-WW8Num18z0" w:customStyle="1">
    <w:name w:val="WW-WW8Num18z0"/>
    <w:qFormat/>
    <w:rsid w:val="00ab085d"/>
    <w:rPr>
      <w:rFonts w:ascii="Symbol" w:hAnsi="Symbol"/>
    </w:rPr>
  </w:style>
  <w:style w:type="character" w:styleId="WW-WW8Num18z2" w:customStyle="1">
    <w:name w:val="WW-WW8Num18z2"/>
    <w:qFormat/>
    <w:rsid w:val="00ab085d"/>
    <w:rPr>
      <w:rFonts w:ascii="Wingdings" w:hAnsi="Wingdings"/>
    </w:rPr>
  </w:style>
  <w:style w:type="character" w:styleId="WW-WW8Num20z0" w:customStyle="1">
    <w:name w:val="WW-WW8Num20z0"/>
    <w:qFormat/>
    <w:rsid w:val="00ab085d"/>
    <w:rPr>
      <w:sz w:val="28"/>
    </w:rPr>
  </w:style>
  <w:style w:type="character" w:styleId="WW8Num23z3" w:customStyle="1">
    <w:name w:val="WW8Num23z3"/>
    <w:qFormat/>
    <w:rsid w:val="00ab085d"/>
    <w:rPr>
      <w:rFonts w:ascii="Symbol" w:hAnsi="Symbol"/>
    </w:rPr>
  </w:style>
  <w:style w:type="character" w:styleId="WW8Num32z0" w:customStyle="1">
    <w:name w:val="WW8Num32z0"/>
    <w:qFormat/>
    <w:rsid w:val="00ab085d"/>
    <w:rPr>
      <w:rFonts w:ascii="Symbol" w:hAnsi="Symbol"/>
    </w:rPr>
  </w:style>
  <w:style w:type="character" w:styleId="WW8Num32z1" w:customStyle="1">
    <w:name w:val="WW8Num32z1"/>
    <w:qFormat/>
    <w:rsid w:val="00ab085d"/>
    <w:rPr>
      <w:rFonts w:ascii="Courier New" w:hAnsi="Courier New" w:cs="Courier New"/>
    </w:rPr>
  </w:style>
  <w:style w:type="character" w:styleId="WW8Num32z2" w:customStyle="1">
    <w:name w:val="WW8Num32z2"/>
    <w:qFormat/>
    <w:rsid w:val="00ab085d"/>
    <w:rPr>
      <w:rFonts w:ascii="Wingdings" w:hAnsi="Wingdings"/>
    </w:rPr>
  </w:style>
  <w:style w:type="character" w:styleId="WW8Num36z0" w:customStyle="1">
    <w:name w:val="WW8Num36z0"/>
    <w:qFormat/>
    <w:rsid w:val="00ab085d"/>
    <w:rPr>
      <w:rFonts w:ascii="Symbol" w:hAnsi="Symbol"/>
    </w:rPr>
  </w:style>
  <w:style w:type="character" w:styleId="WW8Num37z0" w:customStyle="1">
    <w:name w:val="WW8Num37z0"/>
    <w:qFormat/>
    <w:rsid w:val="00ab085d"/>
    <w:rPr>
      <w:rFonts w:ascii="Times New Roman" w:hAnsi="Times New Roman" w:cs="Times New Roman"/>
      <w:color w:val="auto"/>
      <w:sz w:val="16"/>
    </w:rPr>
  </w:style>
  <w:style w:type="character" w:styleId="WW8Num37z1" w:customStyle="1">
    <w:name w:val="WW8Num37z1"/>
    <w:qFormat/>
    <w:rsid w:val="00ab085d"/>
    <w:rPr>
      <w:rFonts w:ascii="Courier New" w:hAnsi="Courier New"/>
    </w:rPr>
  </w:style>
  <w:style w:type="character" w:styleId="WW8Num37z2" w:customStyle="1">
    <w:name w:val="WW8Num37z2"/>
    <w:qFormat/>
    <w:rsid w:val="00ab085d"/>
    <w:rPr>
      <w:rFonts w:ascii="Wingdings" w:hAnsi="Wingdings"/>
    </w:rPr>
  </w:style>
  <w:style w:type="character" w:styleId="WW8Num37z3" w:customStyle="1">
    <w:name w:val="WW8Num37z3"/>
    <w:qFormat/>
    <w:rsid w:val="00ab085d"/>
    <w:rPr>
      <w:rFonts w:ascii="Symbol" w:hAnsi="Symbol"/>
    </w:rPr>
  </w:style>
  <w:style w:type="character" w:styleId="WW8Num38z0" w:customStyle="1">
    <w:name w:val="WW8Num38z0"/>
    <w:qFormat/>
    <w:rsid w:val="00ab085d"/>
    <w:rPr>
      <w:rFonts w:ascii="Symbol" w:hAnsi="Symbol"/>
    </w:rPr>
  </w:style>
  <w:style w:type="character" w:styleId="WW8Num38z1" w:customStyle="1">
    <w:name w:val="WW8Num38z1"/>
    <w:qFormat/>
    <w:rsid w:val="00ab085d"/>
    <w:rPr>
      <w:rFonts w:ascii="Courier New" w:hAnsi="Courier New" w:cs="Courier New"/>
    </w:rPr>
  </w:style>
  <w:style w:type="character" w:styleId="WW8Num38z2" w:customStyle="1">
    <w:name w:val="WW8Num38z2"/>
    <w:qFormat/>
    <w:rsid w:val="00ab085d"/>
    <w:rPr>
      <w:rFonts w:ascii="Wingdings" w:hAnsi="Wingdings"/>
    </w:rPr>
  </w:style>
  <w:style w:type="character" w:styleId="WW8Num42z0" w:customStyle="1">
    <w:name w:val="WW8Num42z0"/>
    <w:qFormat/>
    <w:rsid w:val="00ab085d"/>
    <w:rPr>
      <w:rFonts w:ascii="Times New Roman" w:hAnsi="Times New Roman" w:eastAsia="Times New Roman" w:cs="Times New Roman"/>
    </w:rPr>
  </w:style>
  <w:style w:type="character" w:styleId="WW8Num42z2" w:customStyle="1">
    <w:name w:val="WW8Num42z2"/>
    <w:qFormat/>
    <w:rsid w:val="00ab085d"/>
    <w:rPr>
      <w:rFonts w:ascii="Wingdings" w:hAnsi="Wingdings"/>
    </w:rPr>
  </w:style>
  <w:style w:type="character" w:styleId="WW8Num42z3" w:customStyle="1">
    <w:name w:val="WW8Num42z3"/>
    <w:qFormat/>
    <w:rsid w:val="00ab085d"/>
    <w:rPr>
      <w:rFonts w:ascii="Symbol" w:hAnsi="Symbol"/>
    </w:rPr>
  </w:style>
  <w:style w:type="character" w:styleId="WW8Num42z4" w:customStyle="1">
    <w:name w:val="WW8Num42z4"/>
    <w:qFormat/>
    <w:rsid w:val="00ab085d"/>
    <w:rPr>
      <w:rFonts w:ascii="Courier New" w:hAnsi="Courier New"/>
    </w:rPr>
  </w:style>
  <w:style w:type="character" w:styleId="WW8NumSt1z0" w:customStyle="1">
    <w:name w:val="WW8NumSt1z0"/>
    <w:qFormat/>
    <w:rsid w:val="00ab085d"/>
    <w:rPr>
      <w:rFonts w:ascii="Symbol" w:hAnsi="Symbol"/>
    </w:rPr>
  </w:style>
  <w:style w:type="character" w:styleId="WW-Domylnaczcionkaakapitu" w:customStyle="1">
    <w:name w:val="WW-Domyślna czcionka akapitu"/>
    <w:qFormat/>
    <w:rsid w:val="00ab085d"/>
    <w:rPr/>
  </w:style>
  <w:style w:type="character" w:styleId="Pagenumber">
    <w:name w:val="page number"/>
    <w:basedOn w:val="WW-Domylnaczcionkaakapitu"/>
    <w:semiHidden/>
    <w:qFormat/>
    <w:rsid w:val="00ab085d"/>
    <w:rPr/>
  </w:style>
  <w:style w:type="character" w:styleId="WW-Odwoaniedokomentarza" w:customStyle="1">
    <w:name w:val="WW-Odwołanie do komentarza"/>
    <w:basedOn w:val="WW-Domylnaczcionkaakapitu"/>
    <w:qFormat/>
    <w:rsid w:val="00ab085d"/>
    <w:rPr>
      <w:sz w:val="16"/>
    </w:rPr>
  </w:style>
  <w:style w:type="character" w:styleId="Znakiprzypiswdolnych" w:customStyle="1">
    <w:name w:val="Znaki przypisów dolnych"/>
    <w:qFormat/>
    <w:rsid w:val="00ab085d"/>
    <w:rPr/>
  </w:style>
  <w:style w:type="character" w:styleId="WW-Znakiprzypiswdolnych" w:customStyle="1">
    <w:name w:val="WW-Znaki przypisów dolnych"/>
    <w:basedOn w:val="WW-Domylnaczcionkaakapitu"/>
    <w:qFormat/>
    <w:rsid w:val="00ab085d"/>
    <w:rPr>
      <w:vertAlign w:val="superscript"/>
    </w:rPr>
  </w:style>
  <w:style w:type="character" w:styleId="Hyperlink">
    <w:name w:val="Hyperlink"/>
    <w:basedOn w:val="WW-Domylnaczcionkaakapitu"/>
    <w:semiHidden/>
    <w:rsid w:val="00ab085d"/>
    <w:rPr>
      <w:color w:val="0000FF"/>
      <w:u w:val="single"/>
    </w:rPr>
  </w:style>
  <w:style w:type="character" w:styleId="Znakiprzypiswkocowych" w:customStyle="1">
    <w:name w:val="Znaki przypisów końcowych"/>
    <w:qFormat/>
    <w:rsid w:val="00ab085d"/>
    <w:rPr/>
  </w:style>
  <w:style w:type="character" w:styleId="WW-Znakiprzypiswkocowych" w:customStyle="1">
    <w:name w:val="WW-Znaki przypisów końcowych"/>
    <w:basedOn w:val="WW-Domylnaczcionkaakapitu"/>
    <w:qFormat/>
    <w:rsid w:val="00ab085d"/>
    <w:rPr>
      <w:vertAlign w:val="superscript"/>
    </w:rPr>
  </w:style>
  <w:style w:type="character" w:styleId="Normalzal91" w:customStyle="1">
    <w:name w:val="normal_zal91"/>
    <w:basedOn w:val="WW-Domylnaczcionkaakapitu"/>
    <w:qFormat/>
    <w:rsid w:val="00ab085d"/>
    <w:rPr>
      <w:rFonts w:ascii="Times New Roman" w:hAnsi="Times New Roman"/>
      <w:color w:val="000000"/>
      <w:spacing w:val="0"/>
      <w:sz w:val="22"/>
      <w:szCs w:val="14"/>
    </w:rPr>
  </w:style>
  <w:style w:type="character" w:styleId="Dynamic-style-221" w:customStyle="1">
    <w:name w:val="dynamic-style-221"/>
    <w:basedOn w:val="WW-Domylnaczcionkaakapitu"/>
    <w:qFormat/>
    <w:rsid w:val="00ab085d"/>
    <w:rPr>
      <w:rFonts w:ascii="Times New Roman" w:hAnsi="Times New Roman"/>
      <w:color w:val="000000"/>
      <w:sz w:val="14"/>
      <w:szCs w:val="14"/>
      <w:u w:val="single"/>
    </w:rPr>
  </w:style>
  <w:style w:type="character" w:styleId="Symbolewypunktowania" w:customStyle="1">
    <w:name w:val="Symbole wypunktowania"/>
    <w:qFormat/>
    <w:rsid w:val="00ab085d"/>
    <w:rPr>
      <w:rFonts w:ascii="StarSymbol" w:hAnsi="StarSymbol" w:eastAsia="StarSymbol" w:cs="StarSymbol"/>
      <w:sz w:val="18"/>
      <w:szCs w:val="18"/>
    </w:rPr>
  </w:style>
  <w:style w:type="character" w:styleId="WW8Num89z1" w:customStyle="1">
    <w:name w:val="WW8Num89z1"/>
    <w:qFormat/>
    <w:rsid w:val="00ab085d"/>
    <w:rPr>
      <w:rFonts w:ascii="Times New Roman" w:hAnsi="Times New Roman" w:cs="Times New Roman"/>
      <w:color w:val="auto"/>
      <w:sz w:val="16"/>
    </w:rPr>
  </w:style>
  <w:style w:type="character" w:styleId="WW8Num96z0" w:customStyle="1">
    <w:name w:val="WW8Num96z0"/>
    <w:qFormat/>
    <w:rsid w:val="00ab085d"/>
    <w:rPr>
      <w:rFonts w:ascii="Times New Roman" w:hAnsi="Times New Roman" w:cs="Times New Roman"/>
      <w:color w:val="auto"/>
      <w:sz w:val="16"/>
    </w:rPr>
  </w:style>
  <w:style w:type="character" w:styleId="Znakinumeracji" w:customStyle="1">
    <w:name w:val="Znaki numeracji"/>
    <w:qFormat/>
    <w:rsid w:val="00ab085d"/>
    <w:rPr/>
  </w:style>
  <w:style w:type="character" w:styleId="LANSTERStandardZnak" w:customStyle="1">
    <w:name w:val="LANSTER_Standard Znak"/>
    <w:link w:val="LANSTERStandard"/>
    <w:qFormat/>
    <w:rsid w:val="005915b9"/>
    <w:rPr>
      <w:sz w:val="24"/>
    </w:rPr>
  </w:style>
  <w:style w:type="character" w:styleId="Strong">
    <w:name w:val="Strong"/>
    <w:basedOn w:val="DefaultParagraphFont"/>
    <w:uiPriority w:val="22"/>
    <w:qFormat/>
    <w:rsid w:val="001b1780"/>
    <w:rPr>
      <w:b/>
      <w:bCs/>
    </w:rPr>
  </w:style>
  <w:style w:type="character" w:styleId="TekstdymkaZnak" w:customStyle="1">
    <w:name w:val="Tekst dymka Znak"/>
    <w:basedOn w:val="DefaultParagraphFont"/>
    <w:link w:val="BalloonText"/>
    <w:uiPriority w:val="99"/>
    <w:semiHidden/>
    <w:qFormat/>
    <w:rsid w:val="001b1780"/>
    <w:rPr>
      <w:rFonts w:ascii="Tahoma" w:hAnsi="Tahoma" w:cs="Tahoma"/>
      <w:sz w:val="16"/>
      <w:szCs w:val="16"/>
      <w:lang w:eastAsia="ar-SA"/>
    </w:rPr>
  </w:style>
  <w:style w:type="character" w:styleId="StopkaZnak" w:customStyle="1">
    <w:name w:val="Stopka Znak"/>
    <w:basedOn w:val="DefaultParagraphFont"/>
    <w:uiPriority w:val="99"/>
    <w:qFormat/>
    <w:rsid w:val="00ed736d"/>
    <w:rPr>
      <w:sz w:val="28"/>
      <w:lang w:eastAsia="ar-SA"/>
    </w:rPr>
  </w:style>
  <w:style w:type="character" w:styleId="Tabela" w:customStyle="1">
    <w:name w:val="Tabela"/>
    <w:qFormat/>
    <w:rsid w:val="0092216e"/>
    <w:rPr>
      <w:sz w:val="21"/>
    </w:rPr>
  </w:style>
  <w:style w:type="character" w:styleId="NoSpacingChar" w:customStyle="1">
    <w:name w:val="No Spacing Char"/>
    <w:basedOn w:val="Domylnaczcionkaakapitu2"/>
    <w:link w:val="Bezodstpw2"/>
    <w:qFormat/>
    <w:rsid w:val="0092216e"/>
    <w:rPr>
      <w:rFonts w:ascii="Calibri" w:hAnsi="Calibri" w:eastAsia="Calibri"/>
      <w:sz w:val="22"/>
      <w:szCs w:val="22"/>
    </w:rPr>
  </w:style>
  <w:style w:type="character" w:styleId="Nagwek1Znak" w:customStyle="1">
    <w:name w:val="Nagłówek 1 Znak"/>
    <w:basedOn w:val="DefaultParagraphFont"/>
    <w:qFormat/>
    <w:rsid w:val="000418dd"/>
    <w:rPr>
      <w:rFonts w:ascii="Arial" w:hAnsi="Arial"/>
      <w:b/>
      <w:kern w:val="2"/>
      <w:sz w:val="28"/>
      <w:lang w:eastAsia="ar-SA"/>
    </w:rPr>
  </w:style>
  <w:style w:type="character" w:styleId="Nagwek2Znak" w:customStyle="1">
    <w:name w:val="Nagłówek 2 Znak"/>
    <w:basedOn w:val="DefaultParagraphFont"/>
    <w:qFormat/>
    <w:rsid w:val="000418dd"/>
    <w:rPr>
      <w:rFonts w:ascii="Arial" w:hAnsi="Arial"/>
      <w:b/>
      <w:i/>
      <w:sz w:val="22"/>
      <w:lang w:eastAsia="ar-SA"/>
    </w:rPr>
  </w:style>
  <w:style w:type="character" w:styleId="Nagwek3Znak" w:customStyle="1">
    <w:name w:val="Nagłówek 3 Znak"/>
    <w:basedOn w:val="DefaultParagraphFont"/>
    <w:qFormat/>
    <w:rsid w:val="000418dd"/>
    <w:rPr>
      <w:b/>
      <w:sz w:val="22"/>
      <w:lang w:eastAsia="ar-SA"/>
    </w:rPr>
  </w:style>
  <w:style w:type="character" w:styleId="Nagwek4Znak" w:customStyle="1">
    <w:name w:val="Nagłówek 4 Znak"/>
    <w:basedOn w:val="DefaultParagraphFont"/>
    <w:qFormat/>
    <w:rsid w:val="000418dd"/>
    <w:rPr>
      <w:b/>
      <w:sz w:val="28"/>
      <w:lang w:eastAsia="ar-SA"/>
    </w:rPr>
  </w:style>
  <w:style w:type="character" w:styleId="Nagwek5Znak" w:customStyle="1">
    <w:name w:val="Nagłówek 5 Znak"/>
    <w:basedOn w:val="DefaultParagraphFont"/>
    <w:qFormat/>
    <w:rsid w:val="000418dd"/>
    <w:rPr>
      <w:rFonts w:ascii="Arial" w:hAnsi="Arial"/>
      <w:sz w:val="22"/>
      <w:lang w:val="fr-FR" w:eastAsia="ar-SA"/>
    </w:rPr>
  </w:style>
  <w:style w:type="character" w:styleId="Nagwek6Znak" w:customStyle="1">
    <w:name w:val="Nagłówek 6 Znak"/>
    <w:basedOn w:val="DefaultParagraphFont"/>
    <w:qFormat/>
    <w:rsid w:val="000418dd"/>
    <w:rPr>
      <w:rFonts w:ascii="Arial" w:hAnsi="Arial"/>
      <w:i/>
      <w:sz w:val="22"/>
      <w:lang w:val="fr-FR" w:eastAsia="ar-SA"/>
    </w:rPr>
  </w:style>
  <w:style w:type="character" w:styleId="Nagwek7Znak" w:customStyle="1">
    <w:name w:val="Nagłówek 7 Znak"/>
    <w:basedOn w:val="DefaultParagraphFont"/>
    <w:qFormat/>
    <w:rsid w:val="000418dd"/>
    <w:rPr>
      <w:rFonts w:ascii="Arial" w:hAnsi="Arial"/>
      <w:lang w:val="fr-FR" w:eastAsia="ar-SA"/>
    </w:rPr>
  </w:style>
  <w:style w:type="character" w:styleId="Nagwek8Znak" w:customStyle="1">
    <w:name w:val="Nagłówek 8 Znak"/>
    <w:basedOn w:val="DefaultParagraphFont"/>
    <w:qFormat/>
    <w:rsid w:val="000418dd"/>
    <w:rPr>
      <w:rFonts w:ascii="Arial" w:hAnsi="Arial"/>
      <w:i/>
      <w:lang w:val="fr-FR" w:eastAsia="ar-SA"/>
    </w:rPr>
  </w:style>
  <w:style w:type="character" w:styleId="Nagwek9Znak" w:customStyle="1">
    <w:name w:val="Nagłówek 9 Znak"/>
    <w:basedOn w:val="DefaultParagraphFont"/>
    <w:qFormat/>
    <w:rsid w:val="000418dd"/>
    <w:rPr>
      <w:rFonts w:ascii="Arial" w:hAnsi="Arial"/>
      <w:i/>
      <w:sz w:val="18"/>
      <w:lang w:val="fr-FR" w:eastAsia="ar-SA"/>
    </w:rPr>
  </w:style>
  <w:style w:type="character" w:styleId="LLStandardZnakZnak" w:customStyle="1">
    <w:name w:val="LL_Standard Znak Znak"/>
    <w:link w:val="LLStandard"/>
    <w:qFormat/>
    <w:locked/>
    <w:rsid w:val="000418dd"/>
    <w:rPr>
      <w:rFonts w:eastAsia="Calibri"/>
    </w:rPr>
  </w:style>
  <w:style w:type="character" w:styleId="TekstpodstawowyZnak" w:customStyle="1">
    <w:name w:val="Tekst podstawowy Znak"/>
    <w:basedOn w:val="DefaultParagraphFont"/>
    <w:link w:val="Textbody"/>
    <w:qFormat/>
    <w:rsid w:val="000418dd"/>
    <w:rPr>
      <w:b/>
      <w:sz w:val="22"/>
      <w:lang w:eastAsia="ar-SA"/>
    </w:rPr>
  </w:style>
  <w:style w:type="character" w:styleId="Tekstpodstawowywcity2Znak" w:customStyle="1">
    <w:name w:val="Tekst podstawowy wcięty 2 Znak"/>
    <w:basedOn w:val="DefaultParagraphFont"/>
    <w:link w:val="BodyTextIndent2"/>
    <w:uiPriority w:val="99"/>
    <w:semiHidden/>
    <w:qFormat/>
    <w:rsid w:val="000418dd"/>
    <w:rPr>
      <w:rFonts w:ascii="Calibri" w:hAnsi="Calibri"/>
      <w:sz w:val="22"/>
      <w:szCs w:val="22"/>
      <w:lang w:eastAsia="en-US"/>
    </w:rPr>
  </w:style>
  <w:style w:type="character" w:styleId="NagwekZnak" w:customStyle="1">
    <w:name w:val="Nagłówek Znak"/>
    <w:basedOn w:val="DefaultParagraphFont"/>
    <w:uiPriority w:val="99"/>
    <w:semiHidden/>
    <w:qFormat/>
    <w:rsid w:val="000418dd"/>
    <w:rPr>
      <w:sz w:val="28"/>
      <w:lang w:eastAsia="ar-SA"/>
    </w:rPr>
  </w:style>
  <w:style w:type="character" w:styleId="TytuZnak" w:customStyle="1">
    <w:name w:val="Tytuł Znak"/>
    <w:basedOn w:val="DefaultParagraphFont"/>
    <w:qFormat/>
    <w:rsid w:val="000418dd"/>
    <w:rPr>
      <w:rFonts w:ascii="Garamond" w:hAnsi="Garamond" w:eastAsia="Lucida Sans Unicode"/>
      <w:b/>
      <w:sz w:val="32"/>
      <w:szCs w:val="24"/>
      <w:lang w:eastAsia="ar-SA"/>
    </w:rPr>
  </w:style>
  <w:style w:type="character" w:styleId="PodtytuZnak" w:customStyle="1">
    <w:name w:val="Podtytuł Znak"/>
    <w:basedOn w:val="DefaultParagraphFont"/>
    <w:uiPriority w:val="11"/>
    <w:qFormat/>
    <w:rsid w:val="000418dd"/>
    <w:rPr>
      <w:rFonts w:ascii="Cambria" w:hAnsi="Cambria" w:eastAsia="" w:cs="" w:asciiTheme="majorHAnsi" w:cstheme="majorBidi" w:eastAsiaTheme="majorEastAsia" w:hAnsiTheme="majorHAnsi"/>
      <w:i/>
      <w:iCs/>
      <w:color w:themeColor="accent1" w:val="4F81BD"/>
      <w:spacing w:val="15"/>
      <w:sz w:val="24"/>
      <w:szCs w:val="24"/>
      <w:lang w:eastAsia="en-US"/>
    </w:rPr>
  </w:style>
  <w:style w:type="character" w:styleId="A6" w:customStyle="1">
    <w:name w:val="A6"/>
    <w:qFormat/>
    <w:rsid w:val="001e572d"/>
    <w:rPr>
      <w:rFonts w:cs="Myriad Pro Light"/>
      <w:color w:val="000000"/>
      <w:sz w:val="16"/>
      <w:szCs w:val="16"/>
    </w:rPr>
  </w:style>
  <w:style w:type="character" w:styleId="AkapitzlistZnak" w:customStyle="1">
    <w:name w:val="Akapit z listą Znak"/>
    <w:link w:val="ListParagraph"/>
    <w:uiPriority w:val="34"/>
    <w:qFormat/>
    <w:locked/>
    <w:rsid w:val="007877ab"/>
    <w:rPr>
      <w:sz w:val="28"/>
      <w:lang w:eastAsia="ar-SA"/>
    </w:rPr>
  </w:style>
  <w:style w:type="character" w:styleId="Czeindeksu">
    <w:name w:val="Łącze indeksu"/>
    <w:qFormat/>
    <w:rPr/>
  </w:style>
  <w:style w:type="paragraph" w:styleId="Nagwek">
    <w:name w:val="Nagłówek"/>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link w:val="TekstpodstawowyZnak"/>
    <w:rsid w:val="00ab085d"/>
    <w:pPr>
      <w:jc w:val="both"/>
    </w:pPr>
    <w:rPr>
      <w:b/>
      <w:sz w:val="22"/>
    </w:rPr>
  </w:style>
  <w:style w:type="paragraph" w:styleId="List">
    <w:name w:val="List"/>
    <w:basedOn w:val="BodyText"/>
    <w:semiHidden/>
    <w:rsid w:val="00ab085d"/>
    <w:pPr/>
    <w:rPr>
      <w:rFonts w:cs="Tahoma"/>
    </w:rPr>
  </w:style>
  <w:style w:type="paragraph" w:styleId="Caption">
    <w:name w:val="Caption"/>
    <w:basedOn w:val="Normal"/>
    <w:qFormat/>
    <w:pPr>
      <w:suppressLineNumbers/>
      <w:spacing w:before="120" w:after="120"/>
    </w:pPr>
    <w:rPr>
      <w:rFonts w:cs="Mangal"/>
      <w:i/>
      <w:iCs/>
      <w:sz w:val="24"/>
      <w:szCs w:val="24"/>
    </w:rPr>
  </w:style>
  <w:style w:type="paragraph" w:styleId="Indeks" w:customStyle="1">
    <w:name w:val="Indeks"/>
    <w:basedOn w:val="Normal"/>
    <w:qFormat/>
    <w:rsid w:val="00ab085d"/>
    <w:pPr>
      <w:suppressLineNumbers/>
    </w:pPr>
    <w:rPr>
      <w:rFonts w:cs="Tahoma"/>
    </w:rPr>
  </w:style>
  <w:style w:type="paragraph" w:styleId="Nagwek3" w:customStyle="1">
    <w:name w:val="Nagłówek3"/>
    <w:basedOn w:val="Normal"/>
    <w:next w:val="BodyText"/>
    <w:qFormat/>
    <w:rsid w:val="00ab085d"/>
    <w:pPr>
      <w:keepNext w:val="true"/>
      <w:spacing w:before="240" w:after="120"/>
    </w:pPr>
    <w:rPr>
      <w:rFonts w:ascii="Arial" w:hAnsi="Arial" w:eastAsia="Lucida Sans Unicode" w:cs="Tahoma"/>
      <w:szCs w:val="28"/>
    </w:rPr>
  </w:style>
  <w:style w:type="paragraph" w:styleId="Podpis3" w:customStyle="1">
    <w:name w:val="Podpis3"/>
    <w:basedOn w:val="Normal"/>
    <w:qFormat/>
    <w:rsid w:val="00ab085d"/>
    <w:pPr>
      <w:suppressLineNumbers/>
      <w:spacing w:before="120" w:after="120"/>
    </w:pPr>
    <w:rPr>
      <w:rFonts w:cs="Tahoma"/>
      <w:i/>
      <w:iCs/>
      <w:sz w:val="24"/>
      <w:szCs w:val="24"/>
    </w:rPr>
  </w:style>
  <w:style w:type="paragraph" w:styleId="Nagwek2" w:customStyle="1">
    <w:name w:val="Nagłówek2"/>
    <w:basedOn w:val="Normal"/>
    <w:next w:val="BodyText"/>
    <w:qFormat/>
    <w:rsid w:val="00ab085d"/>
    <w:pPr>
      <w:keepNext w:val="true"/>
      <w:spacing w:before="240" w:after="120"/>
    </w:pPr>
    <w:rPr>
      <w:rFonts w:ascii="Arial" w:hAnsi="Arial" w:eastAsia="Lucida Sans Unicode" w:cs="Tahoma"/>
      <w:szCs w:val="28"/>
    </w:rPr>
  </w:style>
  <w:style w:type="paragraph" w:styleId="Podpis2" w:customStyle="1">
    <w:name w:val="Podpis2"/>
    <w:basedOn w:val="Normal"/>
    <w:qFormat/>
    <w:rsid w:val="00ab085d"/>
    <w:pPr>
      <w:suppressLineNumbers/>
      <w:spacing w:before="120" w:after="120"/>
    </w:pPr>
    <w:rPr>
      <w:rFonts w:cs="Tahoma"/>
      <w:i/>
      <w:iCs/>
      <w:sz w:val="24"/>
      <w:szCs w:val="24"/>
    </w:rPr>
  </w:style>
  <w:style w:type="paragraph" w:styleId="Podpis1" w:customStyle="1">
    <w:name w:val="Podpis1"/>
    <w:basedOn w:val="Normal"/>
    <w:qFormat/>
    <w:rsid w:val="00ab085d"/>
    <w:pPr>
      <w:suppressLineNumbers/>
      <w:spacing w:before="120" w:after="120"/>
    </w:pPr>
    <w:rPr>
      <w:rFonts w:cs="Tahoma"/>
      <w:i/>
      <w:iCs/>
      <w:sz w:val="20"/>
    </w:rPr>
  </w:style>
  <w:style w:type="paragraph" w:styleId="Nagwek1" w:customStyle="1">
    <w:name w:val="Nagłówek1"/>
    <w:basedOn w:val="Normal"/>
    <w:next w:val="BodyText"/>
    <w:qFormat/>
    <w:rsid w:val="00ab085d"/>
    <w:pPr>
      <w:keepNext w:val="true"/>
      <w:spacing w:before="240" w:after="120"/>
    </w:pPr>
    <w:rPr>
      <w:rFonts w:ascii="Arial" w:hAnsi="Arial" w:eastAsia="MS Mincho" w:cs="Tahoma"/>
      <w:szCs w:val="28"/>
    </w:rPr>
  </w:style>
  <w:style w:type="paragraph" w:styleId="WW-Podpis" w:customStyle="1">
    <w:name w:val="WW-Podpis"/>
    <w:basedOn w:val="Normal"/>
    <w:qFormat/>
    <w:rsid w:val="00ab085d"/>
    <w:pPr>
      <w:suppressLineNumbers/>
      <w:spacing w:before="120" w:after="120"/>
    </w:pPr>
    <w:rPr>
      <w:rFonts w:cs="Tahoma"/>
      <w:i/>
      <w:iCs/>
      <w:sz w:val="20"/>
    </w:rPr>
  </w:style>
  <w:style w:type="paragraph" w:styleId="WW-Indeks" w:customStyle="1">
    <w:name w:val="WW-Indeks"/>
    <w:basedOn w:val="Normal"/>
    <w:qFormat/>
    <w:rsid w:val="00ab085d"/>
    <w:pPr>
      <w:suppressLineNumbers/>
    </w:pPr>
    <w:rPr>
      <w:rFonts w:cs="Tahoma"/>
    </w:rPr>
  </w:style>
  <w:style w:type="paragraph" w:styleId="WW-Nagwek" w:customStyle="1">
    <w:name w:val="WW-Nagłówek"/>
    <w:basedOn w:val="Normal"/>
    <w:next w:val="BodyText"/>
    <w:qFormat/>
    <w:rsid w:val="00ab085d"/>
    <w:pPr>
      <w:keepNext w:val="true"/>
      <w:spacing w:before="240" w:after="120"/>
    </w:pPr>
    <w:rPr>
      <w:rFonts w:ascii="Arial" w:hAnsi="Arial" w:eastAsia="MS Mincho" w:cs="Tahoma"/>
      <w:szCs w:val="28"/>
    </w:rPr>
  </w:style>
  <w:style w:type="paragraph" w:styleId="N2-Casino" w:customStyle="1">
    <w:name w:val="N2-Casino"/>
    <w:basedOn w:val="Heading2"/>
    <w:qFormat/>
    <w:rsid w:val="00ab085d"/>
    <w:pPr>
      <w:numPr>
        <w:ilvl w:val="0"/>
        <w:numId w:val="0"/>
      </w:numPr>
    </w:pPr>
    <w:rPr>
      <w:rFonts w:ascii="Courier New" w:hAnsi="Courier New"/>
      <w:b w:val="false"/>
      <w:i w:val="false"/>
      <w:smallCaps/>
      <w:sz w:val="20"/>
      <w:u w:val="single"/>
    </w:rPr>
  </w:style>
  <w:style w:type="paragraph" w:styleId="Standardowy-Casino" w:customStyle="1">
    <w:name w:val="Standardowy-Casino"/>
    <w:basedOn w:val="Normal"/>
    <w:qFormat/>
    <w:rsid w:val="00ab085d"/>
    <w:pPr/>
    <w:rPr>
      <w:rFonts w:ascii="Courier New" w:hAnsi="Courier New"/>
      <w:sz w:val="20"/>
    </w:rPr>
  </w:style>
  <w:style w:type="paragraph" w:styleId="Gwkaistopka">
    <w:name w:val="Główka i stopka"/>
    <w:basedOn w:val="Normal"/>
    <w:qFormat/>
    <w:pPr/>
    <w:rPr/>
  </w:style>
  <w:style w:type="paragraph" w:styleId="Header">
    <w:name w:val="Header"/>
    <w:basedOn w:val="Normal"/>
    <w:link w:val="NagwekZnak"/>
    <w:uiPriority w:val="99"/>
    <w:semiHidden/>
    <w:rsid w:val="00ab085d"/>
    <w:pPr>
      <w:tabs>
        <w:tab w:val="clear" w:pos="708"/>
        <w:tab w:val="center" w:pos="4536" w:leader="none"/>
        <w:tab w:val="right" w:pos="9072" w:leader="none"/>
      </w:tabs>
    </w:pPr>
    <w:rPr/>
  </w:style>
  <w:style w:type="paragraph" w:styleId="Footer">
    <w:name w:val="Footer"/>
    <w:basedOn w:val="Normal"/>
    <w:link w:val="StopkaZnak"/>
    <w:uiPriority w:val="99"/>
    <w:rsid w:val="00ab085d"/>
    <w:pPr>
      <w:tabs>
        <w:tab w:val="clear" w:pos="708"/>
        <w:tab w:val="center" w:pos="4536" w:leader="none"/>
        <w:tab w:val="right" w:pos="9072" w:leader="none"/>
      </w:tabs>
    </w:pPr>
    <w:rPr/>
  </w:style>
  <w:style w:type="paragraph" w:styleId="TOC1">
    <w:name w:val="TOC 1"/>
    <w:basedOn w:val="Normal"/>
    <w:next w:val="Normal"/>
    <w:uiPriority w:val="39"/>
    <w:rsid w:val="00ab085d"/>
    <w:pPr>
      <w:spacing w:before="120" w:after="120"/>
    </w:pPr>
    <w:rPr>
      <w:b/>
      <w:caps/>
      <w:sz w:val="20"/>
    </w:rPr>
  </w:style>
  <w:style w:type="paragraph" w:styleId="TOC2">
    <w:name w:val="TOC 2"/>
    <w:basedOn w:val="Normal"/>
    <w:next w:val="Normal"/>
    <w:uiPriority w:val="39"/>
    <w:rsid w:val="00ab085d"/>
    <w:pPr>
      <w:ind w:hanging="0" w:left="280"/>
    </w:pPr>
    <w:rPr>
      <w:smallCaps/>
      <w:sz w:val="20"/>
    </w:rPr>
  </w:style>
  <w:style w:type="paragraph" w:styleId="TOC3">
    <w:name w:val="TOC 3"/>
    <w:basedOn w:val="Normal"/>
    <w:next w:val="Normal"/>
    <w:uiPriority w:val="39"/>
    <w:rsid w:val="00ab085d"/>
    <w:pPr>
      <w:ind w:hanging="0" w:left="560"/>
    </w:pPr>
    <w:rPr>
      <w:i/>
      <w:sz w:val="20"/>
    </w:rPr>
  </w:style>
  <w:style w:type="paragraph" w:styleId="TOC4">
    <w:name w:val="TOC 4"/>
    <w:basedOn w:val="Normal"/>
    <w:next w:val="Normal"/>
    <w:uiPriority w:val="39"/>
    <w:rsid w:val="00ab085d"/>
    <w:pPr>
      <w:ind w:hanging="0" w:left="840"/>
    </w:pPr>
    <w:rPr>
      <w:sz w:val="18"/>
    </w:rPr>
  </w:style>
  <w:style w:type="paragraph" w:styleId="TOC5">
    <w:name w:val="TOC 5"/>
    <w:basedOn w:val="Normal"/>
    <w:next w:val="Normal"/>
    <w:uiPriority w:val="39"/>
    <w:rsid w:val="00ab085d"/>
    <w:pPr>
      <w:ind w:hanging="0" w:left="1120"/>
    </w:pPr>
    <w:rPr>
      <w:sz w:val="18"/>
    </w:rPr>
  </w:style>
  <w:style w:type="paragraph" w:styleId="TOC6">
    <w:name w:val="TOC 6"/>
    <w:basedOn w:val="Normal"/>
    <w:next w:val="Normal"/>
    <w:semiHidden/>
    <w:rsid w:val="00ab085d"/>
    <w:pPr>
      <w:ind w:hanging="0" w:left="1400"/>
    </w:pPr>
    <w:rPr>
      <w:sz w:val="18"/>
    </w:rPr>
  </w:style>
  <w:style w:type="paragraph" w:styleId="TOC7">
    <w:name w:val="TOC 7"/>
    <w:basedOn w:val="Normal"/>
    <w:next w:val="Normal"/>
    <w:semiHidden/>
    <w:rsid w:val="00ab085d"/>
    <w:pPr>
      <w:ind w:hanging="0" w:left="1680"/>
    </w:pPr>
    <w:rPr>
      <w:sz w:val="18"/>
    </w:rPr>
  </w:style>
  <w:style w:type="paragraph" w:styleId="TOC8">
    <w:name w:val="TOC 8"/>
    <w:basedOn w:val="Normal"/>
    <w:next w:val="Normal"/>
    <w:semiHidden/>
    <w:rsid w:val="00ab085d"/>
    <w:pPr>
      <w:ind w:hanging="0" w:left="1960"/>
    </w:pPr>
    <w:rPr>
      <w:sz w:val="18"/>
    </w:rPr>
  </w:style>
  <w:style w:type="paragraph" w:styleId="TOC9">
    <w:name w:val="TOC 9"/>
    <w:basedOn w:val="Normal"/>
    <w:next w:val="Normal"/>
    <w:uiPriority w:val="39"/>
    <w:rsid w:val="00ab085d"/>
    <w:pPr>
      <w:ind w:hanging="0" w:left="2240"/>
    </w:pPr>
    <w:rPr>
      <w:sz w:val="18"/>
    </w:rPr>
  </w:style>
  <w:style w:type="paragraph" w:styleId="WW-Tekstpodstawowy2" w:customStyle="1">
    <w:name w:val="WW-Tekst podstawowy 2"/>
    <w:basedOn w:val="Normal"/>
    <w:qFormat/>
    <w:rsid w:val="00ab085d"/>
    <w:pPr>
      <w:jc w:val="both"/>
    </w:pPr>
    <w:rPr>
      <w:sz w:val="22"/>
      <w:u w:val="single"/>
    </w:rPr>
  </w:style>
  <w:style w:type="paragraph" w:styleId="WW-Tekstkomentarza" w:customStyle="1">
    <w:name w:val="WW-Tekst komentarza"/>
    <w:basedOn w:val="Normal"/>
    <w:qFormat/>
    <w:rsid w:val="00ab085d"/>
    <w:pPr/>
    <w:rPr>
      <w:sz w:val="20"/>
    </w:rPr>
  </w:style>
  <w:style w:type="paragraph" w:styleId="FootnoteText">
    <w:name w:val="Footnote Text"/>
    <w:basedOn w:val="Normal"/>
    <w:semiHidden/>
    <w:rsid w:val="00ab085d"/>
    <w:pPr/>
    <w:rPr>
      <w:sz w:val="20"/>
    </w:rPr>
  </w:style>
  <w:style w:type="paragraph" w:styleId="BodyTextIndent">
    <w:name w:val="Body Text Indent"/>
    <w:basedOn w:val="Normal"/>
    <w:semiHidden/>
    <w:rsid w:val="00ab085d"/>
    <w:pPr>
      <w:ind w:hanging="0" w:left="1416"/>
    </w:pPr>
    <w:rPr>
      <w:sz w:val="22"/>
    </w:rPr>
  </w:style>
  <w:style w:type="paragraph" w:styleId="WW-Tekstpodstawowy3" w:customStyle="1">
    <w:name w:val="WW-Tekst podstawowy 3"/>
    <w:basedOn w:val="Normal"/>
    <w:qFormat/>
    <w:rsid w:val="00ab085d"/>
    <w:pPr/>
    <w:rPr>
      <w:sz w:val="22"/>
    </w:rPr>
  </w:style>
  <w:style w:type="paragraph" w:styleId="Style21" w:customStyle="1">
    <w:name w:val="Style2"/>
    <w:basedOn w:val="Normal"/>
    <w:qFormat/>
    <w:rsid w:val="00ab085d"/>
    <w:pPr>
      <w:spacing w:before="60" w:after="0"/>
    </w:pPr>
    <w:rPr>
      <w:rFonts w:ascii="Arial" w:hAnsi="Arial"/>
      <w:sz w:val="16"/>
      <w:lang w:val="fr-FR"/>
    </w:rPr>
  </w:style>
  <w:style w:type="paragraph" w:styleId="Style31" w:customStyle="1">
    <w:name w:val="Style3"/>
    <w:basedOn w:val="Normal"/>
    <w:qFormat/>
    <w:rsid w:val="00ab085d"/>
    <w:pPr>
      <w:spacing w:before="60" w:after="0"/>
      <w:jc w:val="center"/>
    </w:pPr>
    <w:rPr>
      <w:rFonts w:ascii="Arial" w:hAnsi="Arial"/>
      <w:b/>
      <w:sz w:val="36"/>
      <w:lang w:val="fr-FR"/>
    </w:rPr>
  </w:style>
  <w:style w:type="paragraph" w:styleId="PG1" w:customStyle="1">
    <w:name w:val="PG1"/>
    <w:basedOn w:val="Normal"/>
    <w:qFormat/>
    <w:rsid w:val="00ab085d"/>
    <w:pPr>
      <w:jc w:val="center"/>
    </w:pPr>
    <w:rPr>
      <w:rFonts w:ascii="Arial" w:hAnsi="Arial"/>
      <w:b/>
      <w:sz w:val="16"/>
      <w:lang w:val="fr-FR"/>
    </w:rPr>
  </w:style>
  <w:style w:type="paragraph" w:styleId="PG2" w:customStyle="1">
    <w:name w:val="PG2"/>
    <w:basedOn w:val="Normal"/>
    <w:qFormat/>
    <w:rsid w:val="00ab085d"/>
    <w:pPr>
      <w:jc w:val="center"/>
    </w:pPr>
    <w:rPr>
      <w:rFonts w:ascii="Arial" w:hAnsi="Arial"/>
      <w:sz w:val="16"/>
      <w:lang w:val="fr-FR"/>
    </w:rPr>
  </w:style>
  <w:style w:type="paragraph" w:styleId="PG6" w:customStyle="1">
    <w:name w:val="PG6"/>
    <w:basedOn w:val="Header"/>
    <w:qFormat/>
    <w:rsid w:val="00ab085d"/>
    <w:pPr>
      <w:tabs>
        <w:tab w:val="center" w:pos="2835" w:leader="none"/>
        <w:tab w:val="center" w:pos="4536" w:leader="none"/>
        <w:tab w:val="right" w:pos="9072" w:leader="none"/>
      </w:tabs>
      <w:spacing w:before="240" w:after="120"/>
      <w:ind w:hanging="0" w:left="-567"/>
      <w:jc w:val="center"/>
    </w:pPr>
    <w:rPr>
      <w:rFonts w:ascii="Arial" w:hAnsi="Arial"/>
      <w:b/>
      <w:sz w:val="36"/>
    </w:rPr>
  </w:style>
  <w:style w:type="paragraph" w:styleId="PG8" w:customStyle="1">
    <w:name w:val="PG8"/>
    <w:basedOn w:val="Header"/>
    <w:qFormat/>
    <w:rsid w:val="00ab085d"/>
    <w:pPr>
      <w:tabs>
        <w:tab w:val="center" w:pos="2835" w:leader="none"/>
        <w:tab w:val="center" w:pos="4536" w:leader="none"/>
        <w:tab w:val="right" w:pos="9072" w:leader="none"/>
      </w:tabs>
      <w:spacing w:before="0" w:after="360"/>
      <w:jc w:val="center"/>
    </w:pPr>
    <w:rPr>
      <w:rFonts w:ascii="Arial" w:hAnsi="Arial"/>
      <w:b/>
      <w:caps/>
      <w:sz w:val="44"/>
    </w:rPr>
  </w:style>
  <w:style w:type="paragraph" w:styleId="PG6fr" w:customStyle="1">
    <w:name w:val="PG6fr"/>
    <w:basedOn w:val="PG6"/>
    <w:qFormat/>
    <w:rsid w:val="00ab085d"/>
    <w:pPr/>
    <w:rPr>
      <w:i/>
      <w:lang w:val="fr-FR"/>
    </w:rPr>
  </w:style>
  <w:style w:type="paragraph" w:styleId="PG8fr" w:customStyle="1">
    <w:name w:val="PG8fr"/>
    <w:basedOn w:val="PG8"/>
    <w:qFormat/>
    <w:rsid w:val="00ab085d"/>
    <w:pPr/>
    <w:rPr>
      <w:i/>
      <w:lang w:val="fr-FR"/>
    </w:rPr>
  </w:style>
  <w:style w:type="paragraph" w:styleId="WW-Tekstpodstawowywcity2" w:customStyle="1">
    <w:name w:val="WW-Tekst podstawowy wcięty 2"/>
    <w:basedOn w:val="Normal"/>
    <w:qFormat/>
    <w:rsid w:val="00ab085d"/>
    <w:pPr>
      <w:ind w:hanging="1134" w:left="1134"/>
      <w:jc w:val="both"/>
    </w:pPr>
    <w:rPr>
      <w:sz w:val="22"/>
    </w:rPr>
  </w:style>
  <w:style w:type="paragraph" w:styleId="WW-Tekstpodstawowywcity3" w:customStyle="1">
    <w:name w:val="WW-Tekst podstawowy wcięty 3"/>
    <w:basedOn w:val="Normal"/>
    <w:qFormat/>
    <w:rsid w:val="00ab085d"/>
    <w:pPr>
      <w:ind w:hanging="0" w:left="851"/>
    </w:pPr>
    <w:rPr>
      <w:b/>
      <w:sz w:val="22"/>
    </w:rPr>
  </w:style>
  <w:style w:type="paragraph" w:styleId="Listeapuces1" w:customStyle="1">
    <w:name w:val="Liste a puces1"/>
    <w:basedOn w:val="Normal"/>
    <w:qFormat/>
    <w:rsid w:val="00ab085d"/>
    <w:pPr>
      <w:tabs>
        <w:tab w:val="clear" w:pos="708"/>
        <w:tab w:val="left" w:pos="360" w:leader="none"/>
      </w:tabs>
      <w:spacing w:before="60" w:after="60"/>
      <w:ind w:hanging="360" w:left="360"/>
      <w:jc w:val="both"/>
    </w:pPr>
    <w:rPr>
      <w:sz w:val="22"/>
    </w:rPr>
  </w:style>
  <w:style w:type="paragraph" w:styleId="Listeapuces" w:customStyle="1">
    <w:name w:val="Liste a puces"/>
    <w:basedOn w:val="Normal"/>
    <w:qFormat/>
    <w:rsid w:val="00ab085d"/>
    <w:pPr>
      <w:spacing w:before="60" w:after="60"/>
      <w:ind w:hanging="284" w:left="851"/>
      <w:jc w:val="both"/>
    </w:pPr>
    <w:rPr>
      <w:sz w:val="22"/>
    </w:rPr>
  </w:style>
  <w:style w:type="paragraph" w:styleId="StandardowyT" w:customStyle="1">
    <w:name w:val="Standardowy T"/>
    <w:basedOn w:val="Normal"/>
    <w:qFormat/>
    <w:rsid w:val="00ab085d"/>
    <w:pPr>
      <w:spacing w:before="0" w:after="60"/>
      <w:jc w:val="both"/>
    </w:pPr>
    <w:rPr>
      <w:sz w:val="22"/>
    </w:rPr>
  </w:style>
  <w:style w:type="paragraph" w:styleId="WW-Tekstdymka" w:customStyle="1">
    <w:name w:val="WW-Tekst dymka"/>
    <w:basedOn w:val="Normal"/>
    <w:qFormat/>
    <w:rsid w:val="00ab085d"/>
    <w:pPr/>
    <w:rPr>
      <w:rFonts w:ascii="Tahoma" w:hAnsi="Tahoma" w:cs="Tahoma"/>
      <w:sz w:val="16"/>
      <w:szCs w:val="16"/>
    </w:rPr>
  </w:style>
  <w:style w:type="paragraph" w:styleId="EndnoteText">
    <w:name w:val="Endnote Text"/>
    <w:basedOn w:val="Normal"/>
    <w:semiHidden/>
    <w:rsid w:val="00ab085d"/>
    <w:pPr/>
    <w:rPr>
      <w:sz w:val="20"/>
    </w:rPr>
  </w:style>
  <w:style w:type="paragraph" w:styleId="Tekstost" w:customStyle="1">
    <w:name w:val="tekst ost"/>
    <w:basedOn w:val="Normal"/>
    <w:qFormat/>
    <w:rsid w:val="00ab085d"/>
    <w:pPr>
      <w:overflowPunct w:val="false"/>
      <w:jc w:val="both"/>
      <w:textAlignment w:val="baseline"/>
    </w:pPr>
    <w:rPr>
      <w:sz w:val="20"/>
    </w:rPr>
  </w:style>
  <w:style w:type="paragraph" w:styleId="Tekstpodstawowywcity31" w:customStyle="1">
    <w:name w:val="Tekst podstawowy wcięty 31"/>
    <w:basedOn w:val="Normal"/>
    <w:qFormat/>
    <w:rsid w:val="00ab085d"/>
    <w:pPr>
      <w:overflowPunct w:val="false"/>
      <w:ind w:hanging="0" w:left="360"/>
      <w:textAlignment w:val="baseline"/>
    </w:pPr>
    <w:rPr>
      <w:rFonts w:ascii="Arial" w:hAnsi="Arial"/>
      <w:sz w:val="22"/>
    </w:rPr>
  </w:style>
  <w:style w:type="paragraph" w:styleId="Zawartotabeli" w:customStyle="1">
    <w:name w:val="Zawartość tabeli"/>
    <w:basedOn w:val="BodyText"/>
    <w:qFormat/>
    <w:rsid w:val="00ab085d"/>
    <w:pPr>
      <w:suppressLineNumbers/>
    </w:pPr>
    <w:rPr/>
  </w:style>
  <w:style w:type="paragraph" w:styleId="WW-Zawartotabeli" w:customStyle="1">
    <w:name w:val="WW-Zawartość tabeli"/>
    <w:basedOn w:val="BodyText"/>
    <w:qFormat/>
    <w:rsid w:val="00ab085d"/>
    <w:pPr>
      <w:suppressLineNumbers/>
    </w:pPr>
    <w:rPr/>
  </w:style>
  <w:style w:type="paragraph" w:styleId="Nagwektabeli" w:customStyle="1">
    <w:name w:val="Nagłówek tabeli"/>
    <w:basedOn w:val="Zawartotabeli"/>
    <w:qFormat/>
    <w:rsid w:val="00ab085d"/>
    <w:pPr>
      <w:jc w:val="center"/>
    </w:pPr>
    <w:rPr>
      <w:bCs/>
      <w:i/>
      <w:iCs/>
    </w:rPr>
  </w:style>
  <w:style w:type="paragraph" w:styleId="WW-Nagwektabeli" w:customStyle="1">
    <w:name w:val="WW-Nagłówek tabeli"/>
    <w:basedOn w:val="WW-Zawartotabeli"/>
    <w:qFormat/>
    <w:rsid w:val="00ab085d"/>
    <w:pPr>
      <w:jc w:val="center"/>
    </w:pPr>
    <w:rPr>
      <w:bCs/>
      <w:i/>
      <w:iCs/>
    </w:rPr>
  </w:style>
  <w:style w:type="paragraph" w:styleId="Domylnie" w:customStyle="1">
    <w:name w:val="Domy?lnie"/>
    <w:basedOn w:val="Normal"/>
    <w:qFormat/>
    <w:rsid w:val="00ab085d"/>
    <w:pPr>
      <w:widowControl w:val="false"/>
      <w:tabs>
        <w:tab w:val="clear" w:pos="708"/>
        <w:tab w:val="left" w:pos="992" w:leader="none"/>
      </w:tabs>
      <w:suppressAutoHyphens w:val="true"/>
      <w:spacing w:lineRule="auto" w:line="288" w:before="40" w:after="40"/>
      <w:jc w:val="both"/>
    </w:pPr>
    <w:rPr>
      <w:rFonts w:eastAsia="HG Mincho Light J"/>
      <w:color w:val="000000"/>
      <w:sz w:val="24"/>
    </w:rPr>
  </w:style>
  <w:style w:type="paragraph" w:styleId="Spistreci10" w:customStyle="1">
    <w:name w:val="Spis treści 10"/>
    <w:basedOn w:val="Indeks"/>
    <w:qFormat/>
    <w:rsid w:val="00ab085d"/>
    <w:pPr>
      <w:tabs>
        <w:tab w:val="clear" w:pos="708"/>
        <w:tab w:val="right" w:pos="9637" w:leader="dot"/>
      </w:tabs>
      <w:ind w:hanging="0" w:left="2547"/>
    </w:pPr>
    <w:rPr/>
  </w:style>
  <w:style w:type="paragraph" w:styleId="Tekstpodstawowy31" w:customStyle="1">
    <w:name w:val="Tekst podstawowy 31"/>
    <w:basedOn w:val="Normal"/>
    <w:qFormat/>
    <w:rsid w:val="00ab085d"/>
    <w:pPr/>
    <w:rPr>
      <w:sz w:val="22"/>
    </w:rPr>
  </w:style>
  <w:style w:type="paragraph" w:styleId="Standard" w:customStyle="1">
    <w:name w:val="standard"/>
    <w:basedOn w:val="Normal"/>
    <w:qFormat/>
    <w:rsid w:val="00ab085d"/>
    <w:pPr>
      <w:spacing w:before="100" w:after="100"/>
    </w:pPr>
    <w:rPr/>
  </w:style>
  <w:style w:type="paragraph" w:styleId="Tekstpodstawowy21" w:customStyle="1">
    <w:name w:val="Tekst podstawowy 21"/>
    <w:basedOn w:val="Normal"/>
    <w:qFormat/>
    <w:rsid w:val="00ab085d"/>
    <w:pPr>
      <w:jc w:val="both"/>
    </w:pPr>
    <w:rPr/>
  </w:style>
  <w:style w:type="paragraph" w:styleId="Tekstpodstawowy22" w:customStyle="1">
    <w:name w:val="Tekst podstawowy 22"/>
    <w:basedOn w:val="Normal"/>
    <w:qFormat/>
    <w:rsid w:val="00ab085d"/>
    <w:pPr>
      <w:jc w:val="both"/>
    </w:pPr>
    <w:rPr/>
  </w:style>
  <w:style w:type="paragraph" w:styleId="Western" w:customStyle="1">
    <w:name w:val="western"/>
    <w:basedOn w:val="Normal"/>
    <w:qFormat/>
    <w:rsid w:val="00ab085d"/>
    <w:pPr>
      <w:spacing w:lineRule="auto" w:line="360" w:before="100" w:after="100"/>
      <w:jc w:val="both"/>
    </w:pPr>
    <w:rPr>
      <w:sz w:val="24"/>
      <w:szCs w:val="24"/>
    </w:rPr>
  </w:style>
  <w:style w:type="paragraph" w:styleId="Nag3wek3" w:customStyle="1">
    <w:name w:val="Nag3ówek 3"/>
    <w:basedOn w:val="Normal"/>
    <w:next w:val="Normal"/>
    <w:qFormat/>
    <w:rsid w:val="00ab085d"/>
    <w:pPr>
      <w:suppressAutoHyphens w:val="true"/>
    </w:pPr>
    <w:rPr>
      <w:rFonts w:ascii="Arial" w:hAnsi="Arial"/>
      <w:sz w:val="24"/>
      <w:szCs w:val="24"/>
    </w:rPr>
  </w:style>
  <w:style w:type="paragraph" w:styleId="Default" w:customStyle="1">
    <w:name w:val="Default"/>
    <w:qFormat/>
    <w:rsid w:val="00ab085d"/>
    <w:pPr>
      <w:widowControl/>
      <w:suppressAutoHyphens w:val="true"/>
      <w:bidi w:val="0"/>
      <w:spacing w:before="0" w:after="0"/>
      <w:jc w:val="left"/>
    </w:pPr>
    <w:rPr>
      <w:rFonts w:ascii="Arial" w:hAnsi="Arial" w:eastAsia="Times New Roman" w:cs="Arial"/>
      <w:color w:val="auto"/>
      <w:kern w:val="0"/>
      <w:sz w:val="20"/>
      <w:szCs w:val="20"/>
      <w:lang w:val="pl-PL" w:eastAsia="ar-SA" w:bidi="ar-SA"/>
    </w:rPr>
  </w:style>
  <w:style w:type="paragraph" w:styleId="Nag3wekstrony" w:customStyle="1">
    <w:name w:val="Nag3ówek strony"/>
    <w:basedOn w:val="Default"/>
    <w:next w:val="Default"/>
    <w:qFormat/>
    <w:rsid w:val="00ab085d"/>
    <w:pPr/>
    <w:rPr>
      <w:rFonts w:cs="Times New Roman"/>
      <w:sz w:val="24"/>
      <w:szCs w:val="24"/>
    </w:rPr>
  </w:style>
  <w:style w:type="paragraph" w:styleId="Nag3wek6" w:customStyle="1">
    <w:name w:val="Nag3ówek 6"/>
    <w:basedOn w:val="Default"/>
    <w:next w:val="Default"/>
    <w:qFormat/>
    <w:rsid w:val="00ab085d"/>
    <w:pPr/>
    <w:rPr>
      <w:rFonts w:cs="Times New Roman"/>
      <w:sz w:val="24"/>
      <w:szCs w:val="24"/>
    </w:rPr>
  </w:style>
  <w:style w:type="paragraph" w:styleId="Nag3wek7" w:customStyle="1">
    <w:name w:val="Nag3ówek 7"/>
    <w:basedOn w:val="Default"/>
    <w:next w:val="Default"/>
    <w:qFormat/>
    <w:rsid w:val="00ab085d"/>
    <w:pPr/>
    <w:rPr>
      <w:rFonts w:cs="Times New Roman"/>
      <w:sz w:val="24"/>
      <w:szCs w:val="24"/>
    </w:rPr>
  </w:style>
  <w:style w:type="paragraph" w:styleId="NormalWeb">
    <w:name w:val="Normal (Web)"/>
    <w:basedOn w:val="Normal"/>
    <w:uiPriority w:val="99"/>
    <w:qFormat/>
    <w:rsid w:val="00ab085d"/>
    <w:pPr>
      <w:suppressAutoHyphens w:val="true"/>
      <w:spacing w:before="280" w:after="119"/>
    </w:pPr>
    <w:rPr>
      <w:sz w:val="24"/>
      <w:szCs w:val="24"/>
    </w:rPr>
  </w:style>
  <w:style w:type="paragraph" w:styleId="Zwykytekst1" w:customStyle="1">
    <w:name w:val="Zwykły tekst1"/>
    <w:basedOn w:val="Normal"/>
    <w:qFormat/>
    <w:rsid w:val="00ab085d"/>
    <w:pPr>
      <w:suppressAutoHyphens w:val="true"/>
    </w:pPr>
    <w:rPr>
      <w:rFonts w:ascii="Courier New" w:hAnsi="Courier New"/>
      <w:sz w:val="20"/>
    </w:rPr>
  </w:style>
  <w:style w:type="paragraph" w:styleId="LANSTERStandard" w:customStyle="1">
    <w:name w:val="LANSTER_Standard"/>
    <w:basedOn w:val="Normal"/>
    <w:link w:val="LANSTERStandardZnak"/>
    <w:qFormat/>
    <w:rsid w:val="005915b9"/>
    <w:pPr>
      <w:spacing w:lineRule="auto" w:line="360" w:before="0" w:after="120"/>
      <w:ind w:firstLine="709"/>
      <w:jc w:val="both"/>
    </w:pPr>
    <w:rPr>
      <w:sz w:val="24"/>
    </w:rPr>
  </w:style>
  <w:style w:type="paragraph" w:styleId="LANSTERPODPUNKT" w:customStyle="1">
    <w:name w:val="LANSTER_PODPUNKT"/>
    <w:basedOn w:val="Normal"/>
    <w:qFormat/>
    <w:rsid w:val="005915b9"/>
    <w:pPr>
      <w:spacing w:before="0" w:after="120"/>
      <w:jc w:val="both"/>
    </w:pPr>
    <w:rPr>
      <w:sz w:val="24"/>
      <w:szCs w:val="24"/>
      <w:lang w:eastAsia="pl-PL"/>
    </w:rPr>
  </w:style>
  <w:style w:type="paragraph" w:styleId="LANSTERTABELA" w:customStyle="1">
    <w:name w:val="LANSTER_TABELA"/>
    <w:basedOn w:val="LANSTERStandard"/>
    <w:qFormat/>
    <w:rsid w:val="005915b9"/>
    <w:pPr>
      <w:ind w:hanging="0"/>
    </w:pPr>
    <w:rPr/>
  </w:style>
  <w:style w:type="paragraph" w:styleId="Caption1">
    <w:name w:val="caption1"/>
    <w:basedOn w:val="Normal"/>
    <w:next w:val="Normal"/>
    <w:qFormat/>
    <w:rsid w:val="005915b9"/>
    <w:pPr/>
    <w:rPr>
      <w:b/>
      <w:bCs/>
      <w:sz w:val="20"/>
      <w:lang w:eastAsia="pl-PL"/>
    </w:rPr>
  </w:style>
  <w:style w:type="paragraph" w:styleId="BalloonText">
    <w:name w:val="Balloon Text"/>
    <w:basedOn w:val="Normal"/>
    <w:link w:val="TekstdymkaZnak"/>
    <w:uiPriority w:val="99"/>
    <w:semiHidden/>
    <w:unhideWhenUsed/>
    <w:qFormat/>
    <w:rsid w:val="001b1780"/>
    <w:pPr/>
    <w:rPr>
      <w:rFonts w:ascii="Tahoma" w:hAnsi="Tahoma" w:cs="Tahoma"/>
      <w:sz w:val="16"/>
      <w:szCs w:val="16"/>
    </w:rPr>
  </w:style>
  <w:style w:type="paragraph" w:styleId="ListParagraph">
    <w:name w:val="List Paragraph"/>
    <w:basedOn w:val="Normal"/>
    <w:link w:val="AkapitzlistZnak"/>
    <w:uiPriority w:val="34"/>
    <w:qFormat/>
    <w:rsid w:val="009751a9"/>
    <w:pPr>
      <w:spacing w:before="0" w:after="0"/>
      <w:ind w:hanging="0" w:left="720"/>
      <w:contextualSpacing/>
    </w:pPr>
    <w:rPr/>
  </w:style>
  <w:style w:type="paragraph" w:styleId="Textbody" w:customStyle="1">
    <w:name w:val="Text body"/>
    <w:basedOn w:val="Normal"/>
    <w:qFormat/>
    <w:rsid w:val="006872c5"/>
    <w:pPr>
      <w:widowControl w:val="false"/>
      <w:suppressAutoHyphens w:val="true"/>
      <w:spacing w:before="0" w:after="120"/>
      <w:textAlignment w:val="baseline"/>
    </w:pPr>
    <w:rPr>
      <w:rFonts w:eastAsia="Lucida Sans Unicode" w:cs="Tahoma"/>
      <w:kern w:val="2"/>
      <w:sz w:val="24"/>
      <w:szCs w:val="24"/>
      <w:lang w:eastAsia="pl-PL"/>
    </w:rPr>
  </w:style>
  <w:style w:type="paragraph" w:styleId="StylLANSTERPODPUNKTInterlinia15wiersza" w:customStyle="1">
    <w:name w:val="Styl LANSTER_PODPUNKT + Interlinia:  15 wiersza"/>
    <w:basedOn w:val="LANSTERPODPUNKT"/>
    <w:qFormat/>
    <w:rsid w:val="00eb4314"/>
    <w:pPr>
      <w:spacing w:lineRule="auto" w:line="360"/>
    </w:pPr>
    <w:rPr>
      <w:szCs w:val="20"/>
      <w:lang w:eastAsia="ar-SA"/>
    </w:rPr>
  </w:style>
  <w:style w:type="paragraph" w:styleId="ListContinue">
    <w:name w:val="List Continue"/>
    <w:basedOn w:val="Normal"/>
    <w:uiPriority w:val="99"/>
    <w:semiHidden/>
    <w:unhideWhenUsed/>
    <w:qFormat/>
    <w:rsid w:val="0092216e"/>
    <w:pPr>
      <w:spacing w:before="0" w:after="120"/>
      <w:ind w:hanging="0" w:left="283"/>
      <w:contextualSpacing/>
    </w:pPr>
    <w:rPr/>
  </w:style>
  <w:style w:type="paragraph" w:styleId="Bezodstpw2" w:customStyle="1">
    <w:name w:val="Bez odstępów2"/>
    <w:basedOn w:val="Normal"/>
    <w:link w:val="NoSpacingChar"/>
    <w:qFormat/>
    <w:rsid w:val="0092216e"/>
    <w:pPr>
      <w:spacing w:before="120" w:after="0"/>
      <w:jc w:val="both"/>
    </w:pPr>
    <w:rPr>
      <w:rFonts w:ascii="Calibri" w:hAnsi="Calibri" w:eastAsia="Calibri"/>
      <w:sz w:val="22"/>
      <w:szCs w:val="22"/>
      <w:lang w:eastAsia="pl-PL"/>
    </w:rPr>
  </w:style>
  <w:style w:type="paragraph" w:styleId="Bezodstpw1" w:customStyle="1">
    <w:name w:val="Bez odstępów1"/>
    <w:qFormat/>
    <w:rsid w:val="000418dd"/>
    <w:pPr>
      <w:widowControl/>
      <w:suppressAutoHyphens w:val="true"/>
      <w:bidi w:val="0"/>
      <w:spacing w:before="0" w:after="0"/>
      <w:jc w:val="left"/>
    </w:pPr>
    <w:rPr>
      <w:rFonts w:ascii="Calibri" w:hAnsi="Calibri" w:eastAsia="Calibri" w:cs="Times New Roman"/>
      <w:color w:val="auto"/>
      <w:kern w:val="0"/>
      <w:sz w:val="22"/>
      <w:szCs w:val="22"/>
      <w:lang w:val="pl-PL" w:eastAsia="en-US" w:bidi="ar-SA"/>
    </w:rPr>
  </w:style>
  <w:style w:type="paragraph" w:styleId="Akapitzlist1" w:customStyle="1">
    <w:name w:val="Akapit z listą1"/>
    <w:basedOn w:val="Normal"/>
    <w:qFormat/>
    <w:rsid w:val="000418dd"/>
    <w:pPr>
      <w:spacing w:lineRule="auto" w:line="259" w:before="0" w:after="160"/>
      <w:ind w:hanging="0" w:left="720"/>
    </w:pPr>
    <w:rPr>
      <w:rFonts w:ascii="Calibri" w:hAnsi="Calibri"/>
      <w:sz w:val="22"/>
      <w:szCs w:val="22"/>
      <w:lang w:eastAsia="en-US"/>
    </w:rPr>
  </w:style>
  <w:style w:type="paragraph" w:styleId="LLStandard" w:customStyle="1">
    <w:name w:val="LL_Standard"/>
    <w:basedOn w:val="Normal"/>
    <w:link w:val="LLStandardZnakZnak"/>
    <w:qFormat/>
    <w:rsid w:val="000418dd"/>
    <w:pPr>
      <w:spacing w:lineRule="auto" w:line="360" w:before="0" w:after="120"/>
      <w:ind w:firstLine="709"/>
      <w:jc w:val="both"/>
    </w:pPr>
    <w:rPr>
      <w:rFonts w:eastAsia="Calibri"/>
      <w:sz w:val="20"/>
      <w:lang w:eastAsia="pl-PL"/>
    </w:rPr>
  </w:style>
  <w:style w:type="paragraph" w:styleId="StylLStandardaciskiCalibriLightPierwszywiersz" w:customStyle="1">
    <w:name w:val="Styl L_Standard + (Łaciński) Calibri Light Pierwszy wiersz:..."/>
    <w:basedOn w:val="LLStandard"/>
    <w:qFormat/>
    <w:rsid w:val="000418dd"/>
    <w:pPr>
      <w:spacing w:lineRule="auto" w:line="240"/>
      <w:ind w:hanging="0"/>
    </w:pPr>
    <w:rPr>
      <w:rFonts w:ascii="Calibri Light" w:hAnsi="Calibri Light" w:eastAsia="Times New Roman"/>
    </w:rPr>
  </w:style>
  <w:style w:type="paragraph" w:styleId="Tekstpodstawowywcity2Wyjustowany" w:customStyle="1">
    <w:name w:val="Tekst podstawowy wcięty 2 + Wyjustowany"/>
    <w:basedOn w:val="BodyTextIndent2"/>
    <w:qFormat/>
    <w:rsid w:val="000418dd"/>
    <w:pPr>
      <w:tabs>
        <w:tab w:val="clear" w:pos="708"/>
        <w:tab w:val="left" w:pos="720" w:leader="none"/>
      </w:tabs>
      <w:spacing w:lineRule="auto" w:line="240"/>
      <w:ind w:hanging="709" w:left="709"/>
      <w:jc w:val="both"/>
    </w:pPr>
    <w:rPr>
      <w:rFonts w:ascii="Times New Roman" w:hAnsi="Times New Roman" w:eastAsia="Calibri"/>
      <w:sz w:val="24"/>
      <w:szCs w:val="24"/>
      <w:lang w:eastAsia="pl-PL"/>
    </w:rPr>
  </w:style>
  <w:style w:type="paragraph" w:styleId="BodyTextIndent2">
    <w:name w:val="Body Text Indent 2"/>
    <w:basedOn w:val="Normal"/>
    <w:link w:val="Tekstpodstawowywcity2Znak"/>
    <w:uiPriority w:val="99"/>
    <w:semiHidden/>
    <w:unhideWhenUsed/>
    <w:qFormat/>
    <w:rsid w:val="000418dd"/>
    <w:pPr>
      <w:spacing w:lineRule="auto" w:line="480" w:before="0" w:after="120"/>
      <w:ind w:hanging="0" w:left="283"/>
    </w:pPr>
    <w:rPr>
      <w:rFonts w:ascii="Calibri" w:hAnsi="Calibri"/>
      <w:sz w:val="22"/>
      <w:szCs w:val="22"/>
      <w:lang w:eastAsia="en-US"/>
    </w:rPr>
  </w:style>
  <w:style w:type="paragraph" w:styleId="IndexHeading">
    <w:name w:val="Index Heading"/>
    <w:basedOn w:val="Nagwek"/>
    <w:pPr/>
    <w:rPr/>
  </w:style>
  <w:style w:type="paragraph" w:styleId="TOCHeading">
    <w:name w:val="TOC Heading"/>
    <w:basedOn w:val="Heading1"/>
    <w:next w:val="Normal"/>
    <w:qFormat/>
    <w:rsid w:val="000418dd"/>
    <w:pPr>
      <w:widowControl w:val="false"/>
      <w:numPr>
        <w:ilvl w:val="0"/>
        <w:numId w:val="0"/>
      </w:numPr>
      <w:suppressLineNumbers/>
      <w:suppressAutoHyphens w:val="true"/>
      <w:spacing w:before="240" w:after="120"/>
      <w:outlineLvl w:val="9"/>
    </w:pPr>
    <w:rPr>
      <w:rFonts w:eastAsia="Lucida Sans Unicode" w:cs="Tahoma"/>
      <w:bCs/>
      <w:kern w:val="0"/>
      <w:sz w:val="32"/>
      <w:szCs w:val="32"/>
    </w:rPr>
  </w:style>
  <w:style w:type="paragraph" w:styleId="Nagwekindeksuilustracji" w:customStyle="1">
    <w:name w:val="Nagłówek indeksu ilustracji"/>
    <w:basedOn w:val="Header"/>
    <w:qFormat/>
    <w:rsid w:val="000418dd"/>
    <w:pPr>
      <w:keepNext w:val="true"/>
      <w:widowControl w:val="false"/>
      <w:suppressLineNumbers/>
      <w:tabs>
        <w:tab w:val="clear" w:pos="4536"/>
        <w:tab w:val="clear" w:pos="9072"/>
      </w:tabs>
      <w:suppressAutoHyphens w:val="true"/>
      <w:spacing w:before="240" w:after="120"/>
    </w:pPr>
    <w:rPr>
      <w:rFonts w:ascii="Arial" w:hAnsi="Arial" w:eastAsia="Lucida Sans Unicode" w:cs="Tahoma"/>
      <w:b/>
      <w:bCs/>
      <w:sz w:val="32"/>
      <w:szCs w:val="32"/>
    </w:rPr>
  </w:style>
  <w:style w:type="paragraph" w:styleId="StylPODPUNKTInterlinia15wiersza" w:customStyle="1">
    <w:name w:val="Styl _PODPUNKT + Interlinia:  15 wiersza"/>
    <w:basedOn w:val="Normal"/>
    <w:qFormat/>
    <w:rsid w:val="000418dd"/>
    <w:pPr>
      <w:spacing w:lineRule="auto" w:line="360" w:before="0" w:after="120"/>
      <w:jc w:val="both"/>
    </w:pPr>
    <w:rPr>
      <w:rFonts w:eastAsia="Calibri"/>
      <w:sz w:val="24"/>
      <w:lang w:eastAsia="pl-PL"/>
    </w:rPr>
  </w:style>
  <w:style w:type="paragraph" w:styleId="Title">
    <w:name w:val="Title"/>
    <w:basedOn w:val="Normal"/>
    <w:next w:val="Normal"/>
    <w:link w:val="TytuZnak"/>
    <w:qFormat/>
    <w:rsid w:val="000418dd"/>
    <w:pPr>
      <w:widowControl w:val="false"/>
      <w:suppressAutoHyphens w:val="true"/>
      <w:ind w:hanging="0" w:left="708"/>
      <w:jc w:val="center"/>
    </w:pPr>
    <w:rPr>
      <w:rFonts w:ascii="Garamond" w:hAnsi="Garamond" w:eastAsia="Lucida Sans Unicode"/>
      <w:b/>
      <w:sz w:val="32"/>
      <w:szCs w:val="24"/>
    </w:rPr>
  </w:style>
  <w:style w:type="paragraph" w:styleId="Subtitle">
    <w:name w:val="Subtitle"/>
    <w:basedOn w:val="Normal"/>
    <w:next w:val="Normal"/>
    <w:link w:val="PodtytuZnak"/>
    <w:uiPriority w:val="11"/>
    <w:qFormat/>
    <w:rsid w:val="000418dd"/>
    <w:pPr>
      <w:spacing w:lineRule="auto" w:line="259" w:before="0" w:after="160"/>
    </w:pPr>
    <w:rPr>
      <w:rFonts w:ascii="Cambria" w:hAnsi="Cambria" w:eastAsia="" w:cs="" w:asciiTheme="majorHAnsi" w:cstheme="majorBidi" w:eastAsiaTheme="majorEastAsia" w:hAnsiTheme="majorHAnsi"/>
      <w:i/>
      <w:iCs/>
      <w:color w:themeColor="accent1" w:val="4F81BD"/>
      <w:spacing w:val="15"/>
      <w:sz w:val="24"/>
      <w:szCs w:val="24"/>
      <w:lang w:eastAsia="en-US"/>
    </w:rPr>
  </w:style>
  <w:style w:type="paragraph" w:styleId="Gwp08ccd1ecstyllstandardaciskicalibrilightpierwszywiersz" w:customStyle="1">
    <w:name w:val="gwp08ccd1ec_styllstandardaciskicalibrilightpierwszywiersz"/>
    <w:basedOn w:val="Normal"/>
    <w:qFormat/>
    <w:rsid w:val="00d77975"/>
    <w:pPr>
      <w:spacing w:beforeAutospacing="1" w:afterAutospacing="1"/>
    </w:pPr>
    <w:rPr>
      <w:sz w:val="24"/>
      <w:szCs w:val="24"/>
      <w:lang w:eastAsia="pl-PL" w:bidi="he-IL"/>
    </w:rPr>
  </w:style>
  <w:style w:type="numbering" w:styleId="NoList" w:default="1">
    <w:name w:val="No List"/>
    <w:uiPriority w:val="99"/>
    <w:semiHidden/>
    <w:unhideWhenUsed/>
    <w:qFormat/>
  </w:style>
  <w:style w:type="table" w:default="1" w:styleId="Standardowy">
    <w:name w:val="Normal Table"/>
    <w:uiPriority w:val="99"/>
    <w:semiHidden/>
    <w:unhideWhenUsed/>
    <w:qFormat/>
    <w:tblPr>
      <w:tblCellMar>
        <w:top w:w="0" w:type="dxa"/>
        <w:left w:w="108" w:type="dxa"/>
        <w:bottom w:w="0" w:type="dxa"/>
        <w:right w:w="108" w:type="dxa"/>
      </w:tblCellMar>
    </w:tblPr>
  </w:style>
  <w:style w:type="table" w:customStyle="1" w:styleId="ListTable3">
    <w:name w:val="List Table 3"/>
    <w:basedOn w:val="Standardowy"/>
    <w:uiPriority w:val="48"/>
    <w:rsid w:val="007877ab"/>
    <w:rPr>
      <w:rFonts w:asciiTheme="minorHAnsi" w:hAnsiTheme="minorHAnsi" w:eastAsiaTheme="minorHAnsi" w:cstheme="minorBidi"/>
      <w:lang w:eastAsia="en-US"/>
      <w:sz w:val="22"/>
      <w:szCs w:val="22"/>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bCs/>
        <w:color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223D8-AB3C-48E0-9D42-F1A471C7D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Application>LibreOffice/7.6.4.1$Windows_X86_64 LibreOffice_project/e19e193f88cd6c0525a17fb7a176ed8e6a3e2aa1</Application>
  <AppVersion>15.0000</AppVersion>
  <Pages>16</Pages>
  <Words>3534</Words>
  <Characters>24591</Characters>
  <CharactersWithSpaces>27818</CharactersWithSpaces>
  <Paragraphs>228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2021-08-02T06:13:00Z</dcterms:created>
  <dc:creator>Secrétariat</dc:creator>
  <dc:description/>
  <dc:language>pl-PL</dc:language>
  <cp:lastModifiedBy/>
  <cp:lastPrinted>2016-03-02T11:28:00Z</cp:lastPrinted>
  <dcterms:modified xsi:type="dcterms:W3CDTF">2024-02-16T11:17:32Z</dcterms:modified>
  <cp:revision>24</cp:revision>
  <dc:subject/>
  <dc:title>CSI INGENIERIE</dc:title>
</cp:coreProperties>
</file>

<file path=docProps/custom.xml><?xml version="1.0" encoding="utf-8"?>
<Properties xmlns="http://schemas.openxmlformats.org/officeDocument/2006/custom-properties" xmlns:vt="http://schemas.openxmlformats.org/officeDocument/2006/docPropsVTypes"/>
</file>